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3E46" w14:textId="77777777" w:rsidR="00371F8E" w:rsidRPr="0068196A" w:rsidRDefault="00371F8E" w:rsidP="00371F8E">
      <w:pPr>
        <w:shd w:val="clear" w:color="auto" w:fill="1F3864" w:themeFill="accent1" w:themeFillShade="80"/>
        <w:jc w:val="center"/>
        <w:rPr>
          <w:rFonts w:ascii="Calibri" w:hAnsi="Calibri" w:cs="Calibri"/>
          <w:b/>
          <w:color w:val="FFFFFF" w:themeColor="background1"/>
          <w:sz w:val="40"/>
          <w:szCs w:val="28"/>
        </w:rPr>
      </w:pPr>
      <w:r w:rsidRPr="0068196A">
        <w:rPr>
          <w:rFonts w:ascii="Calibri" w:hAnsi="Calibri" w:cs="Calibri"/>
          <w:b/>
          <w:color w:val="FFFFFF" w:themeColor="background1"/>
          <w:sz w:val="40"/>
          <w:szCs w:val="28"/>
        </w:rPr>
        <w:t>Tackling NEET Toolkit</w:t>
      </w:r>
    </w:p>
    <w:p w14:paraId="010B4D33" w14:textId="77777777" w:rsidR="00371F8E" w:rsidRPr="00FC32D3" w:rsidRDefault="00371F8E" w:rsidP="00F10029">
      <w:pPr>
        <w:pStyle w:val="Heading1"/>
        <w:rPr>
          <w:rFonts w:asciiTheme="majorHAnsi" w:hAnsiTheme="majorHAnsi" w:cstheme="majorHAnsi"/>
          <w:sz w:val="48"/>
          <w:szCs w:val="52"/>
        </w:rPr>
      </w:pPr>
    </w:p>
    <w:p w14:paraId="2DAC409F" w14:textId="4BFB4177" w:rsidR="00F10029" w:rsidRPr="00FC32D3" w:rsidRDefault="00F10029" w:rsidP="00FC32D3">
      <w:pPr>
        <w:pStyle w:val="Heading1"/>
        <w:rPr>
          <w:sz w:val="96"/>
          <w:szCs w:val="96"/>
        </w:rPr>
      </w:pPr>
      <w:r w:rsidRPr="00FC32D3">
        <w:rPr>
          <w:sz w:val="96"/>
          <w:szCs w:val="96"/>
        </w:rPr>
        <w:t>Brief Guide to Intervention Strategies</w:t>
      </w:r>
    </w:p>
    <w:p w14:paraId="2957F8AD" w14:textId="77777777" w:rsidR="00F10029" w:rsidRDefault="00F10029" w:rsidP="00F10029"/>
    <w:p w14:paraId="25F98395" w14:textId="77777777" w:rsidR="00F10029" w:rsidRDefault="00F10029" w:rsidP="00F10029"/>
    <w:p w14:paraId="61D1A967" w14:textId="0DF9DCB0" w:rsidR="00A86615" w:rsidRPr="00E7488E" w:rsidRDefault="00A86615" w:rsidP="00F10029">
      <w:pPr>
        <w:rPr>
          <w:sz w:val="28"/>
          <w:szCs w:val="28"/>
        </w:rPr>
      </w:pPr>
      <w:r w:rsidRPr="00E7488E">
        <w:rPr>
          <w:sz w:val="28"/>
          <w:szCs w:val="28"/>
        </w:rPr>
        <w:t xml:space="preserve">This guide offers a </w:t>
      </w:r>
      <w:r w:rsidRPr="00BF5971">
        <w:rPr>
          <w:b/>
          <w:bCs/>
          <w:sz w:val="28"/>
          <w:szCs w:val="28"/>
        </w:rPr>
        <w:t>thumbnail view</w:t>
      </w:r>
      <w:r w:rsidRPr="00E7488E">
        <w:rPr>
          <w:sz w:val="28"/>
          <w:szCs w:val="28"/>
        </w:rPr>
        <w:t xml:space="preserve"> of each of the </w:t>
      </w:r>
      <w:r w:rsidRPr="00BF5971">
        <w:rPr>
          <w:b/>
          <w:bCs/>
          <w:sz w:val="28"/>
          <w:szCs w:val="28"/>
        </w:rPr>
        <w:t xml:space="preserve">13 </w:t>
      </w:r>
      <w:r w:rsidR="00701970" w:rsidRPr="00BF5971">
        <w:rPr>
          <w:b/>
          <w:bCs/>
          <w:sz w:val="28"/>
          <w:szCs w:val="28"/>
        </w:rPr>
        <w:t>tried-and-tested strategies</w:t>
      </w:r>
      <w:r w:rsidR="00701970" w:rsidRPr="00E7488E">
        <w:rPr>
          <w:sz w:val="28"/>
          <w:szCs w:val="28"/>
        </w:rPr>
        <w:t xml:space="preserve"> for supporting young people to avoid </w:t>
      </w:r>
      <w:r w:rsidR="00B6206C" w:rsidRPr="00E7488E">
        <w:rPr>
          <w:sz w:val="28"/>
          <w:szCs w:val="28"/>
        </w:rPr>
        <w:t>NEET status or re-engage with education and work.</w:t>
      </w:r>
    </w:p>
    <w:p w14:paraId="2C5EAEBD" w14:textId="6AD01969" w:rsidR="00B6206C" w:rsidRDefault="0094716B" w:rsidP="00F10029">
      <w:pPr>
        <w:rPr>
          <w:sz w:val="28"/>
          <w:szCs w:val="28"/>
        </w:rPr>
      </w:pPr>
      <w:r w:rsidRPr="00E7488E">
        <w:rPr>
          <w:sz w:val="28"/>
          <w:szCs w:val="28"/>
        </w:rPr>
        <w:t xml:space="preserve">Please see the </w:t>
      </w:r>
      <w:r w:rsidRPr="00BF5971">
        <w:rPr>
          <w:b/>
          <w:bCs/>
          <w:sz w:val="28"/>
          <w:szCs w:val="28"/>
        </w:rPr>
        <w:t>full Intervention handbook</w:t>
      </w:r>
      <w:r w:rsidRPr="00E7488E">
        <w:rPr>
          <w:sz w:val="28"/>
          <w:szCs w:val="28"/>
        </w:rPr>
        <w:t xml:space="preserve"> for more detail on how you might develop this intervention in your own setting, for further reading and resources.</w:t>
      </w:r>
    </w:p>
    <w:p w14:paraId="05C3CF5E" w14:textId="77777777" w:rsidR="00CB5BE8" w:rsidRDefault="00CB5BE8" w:rsidP="00F10029">
      <w:pPr>
        <w:rPr>
          <w:sz w:val="28"/>
          <w:szCs w:val="28"/>
        </w:rPr>
      </w:pPr>
    </w:p>
    <w:p w14:paraId="73802C3A" w14:textId="77777777" w:rsidR="00CB5BE8" w:rsidRDefault="00CB5BE8" w:rsidP="00F10029">
      <w:pPr>
        <w:rPr>
          <w:sz w:val="28"/>
          <w:szCs w:val="28"/>
        </w:rPr>
      </w:pPr>
    </w:p>
    <w:p w14:paraId="4E23AAC3" w14:textId="77777777" w:rsidR="00CB5BE8" w:rsidRDefault="00CB5BE8" w:rsidP="00F10029">
      <w:pPr>
        <w:rPr>
          <w:sz w:val="28"/>
          <w:szCs w:val="28"/>
        </w:rPr>
      </w:pPr>
    </w:p>
    <w:p w14:paraId="3E7273CE" w14:textId="77777777" w:rsidR="00CB5BE8" w:rsidRDefault="00CB5BE8" w:rsidP="00F10029">
      <w:pPr>
        <w:rPr>
          <w:sz w:val="28"/>
          <w:szCs w:val="28"/>
        </w:rPr>
      </w:pPr>
    </w:p>
    <w:p w14:paraId="481C640D" w14:textId="77777777" w:rsidR="00CB5BE8" w:rsidRDefault="00CB5BE8" w:rsidP="00F10029">
      <w:pPr>
        <w:rPr>
          <w:sz w:val="28"/>
          <w:szCs w:val="28"/>
        </w:rPr>
      </w:pPr>
    </w:p>
    <w:p w14:paraId="50033BD7" w14:textId="77777777" w:rsidR="00CB5BE8" w:rsidRDefault="00CB5BE8" w:rsidP="00F10029">
      <w:pPr>
        <w:rPr>
          <w:sz w:val="28"/>
          <w:szCs w:val="28"/>
        </w:rPr>
      </w:pPr>
    </w:p>
    <w:p w14:paraId="66006C25" w14:textId="77777777" w:rsidR="00CB5BE8" w:rsidRDefault="00CB5BE8" w:rsidP="00F10029">
      <w:pPr>
        <w:rPr>
          <w:sz w:val="28"/>
          <w:szCs w:val="28"/>
        </w:rPr>
      </w:pPr>
    </w:p>
    <w:p w14:paraId="26ACAF21" w14:textId="77777777" w:rsidR="00CB5BE8" w:rsidRDefault="00CB5BE8" w:rsidP="00F10029">
      <w:pPr>
        <w:rPr>
          <w:sz w:val="28"/>
          <w:szCs w:val="28"/>
        </w:rPr>
      </w:pPr>
    </w:p>
    <w:p w14:paraId="1286962D" w14:textId="77777777" w:rsidR="004250E8" w:rsidRPr="00E7488E" w:rsidRDefault="004250E8" w:rsidP="004250E8">
      <w:pPr>
        <w:rPr>
          <w:sz w:val="28"/>
          <w:szCs w:val="28"/>
        </w:rPr>
      </w:pPr>
    </w:p>
    <w:p w14:paraId="30C161D9" w14:textId="15A31B00" w:rsidR="00F10029" w:rsidRDefault="00F10029" w:rsidP="004250E8"/>
    <w:p w14:paraId="0356BBD8" w14:textId="2D4F8F5D" w:rsidR="00F10029" w:rsidRDefault="0004256B">
      <w:r w:rsidRPr="001D2B9E">
        <w:rPr>
          <w:noProof/>
          <w:lang w:eastAsia="ca-ES"/>
        </w:rPr>
        <w:drawing>
          <wp:anchor distT="0" distB="0" distL="114300" distR="114300" simplePos="0" relativeHeight="251663360" behindDoc="0" locked="0" layoutInCell="1" allowOverlap="1" wp14:anchorId="45DEBB24" wp14:editId="6AE26FF3">
            <wp:simplePos x="0" y="0"/>
            <wp:positionH relativeFrom="column">
              <wp:posOffset>5000625</wp:posOffset>
            </wp:positionH>
            <wp:positionV relativeFrom="paragraph">
              <wp:posOffset>962025</wp:posOffset>
            </wp:positionV>
            <wp:extent cx="1476375" cy="419100"/>
            <wp:effectExtent l="0" t="0" r="9525" b="0"/>
            <wp:wrapNone/>
            <wp:docPr id="25643" name="Imagen 25643" descr="Resultado de imagen de COFUNDED BY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FUNDED BY ERASMUS PLU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885" b="-2325"/>
                    <a:stretch/>
                  </pic:blipFill>
                  <pic:spPr bwMode="auto">
                    <a:xfrm>
                      <a:off x="0" y="0"/>
                      <a:ext cx="14763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25D" w:rsidRPr="001D2B9E">
        <w:rPr>
          <w:noProof/>
          <w:lang w:eastAsia="ca-ES"/>
        </w:rPr>
        <w:drawing>
          <wp:anchor distT="0" distB="0" distL="114300" distR="114300" simplePos="0" relativeHeight="251661312" behindDoc="0" locked="0" layoutInCell="1" allowOverlap="1" wp14:anchorId="31CD716F" wp14:editId="6FA3AC9D">
            <wp:simplePos x="0" y="0"/>
            <wp:positionH relativeFrom="column">
              <wp:posOffset>3343275</wp:posOffset>
            </wp:positionH>
            <wp:positionV relativeFrom="paragraph">
              <wp:posOffset>779145</wp:posOffset>
            </wp:positionV>
            <wp:extent cx="1219200" cy="596900"/>
            <wp:effectExtent l="0" t="0" r="0" b="0"/>
            <wp:wrapNone/>
            <wp:docPr id="25644" name="Imagen 256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4" name="Imagen 2564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25D">
        <w:rPr>
          <w:noProof/>
        </w:rPr>
        <w:drawing>
          <wp:anchor distT="0" distB="0" distL="114300" distR="114300" simplePos="0" relativeHeight="251657216" behindDoc="0" locked="0" layoutInCell="1" allowOverlap="1" wp14:anchorId="74A6B15D" wp14:editId="25CAE49F">
            <wp:simplePos x="0" y="0"/>
            <wp:positionH relativeFrom="margin">
              <wp:posOffset>1941830</wp:posOffset>
            </wp:positionH>
            <wp:positionV relativeFrom="paragraph">
              <wp:posOffset>709295</wp:posOffset>
            </wp:positionV>
            <wp:extent cx="685800" cy="685800"/>
            <wp:effectExtent l="0" t="0" r="0" b="0"/>
            <wp:wrapNone/>
            <wp:docPr id="4" name="Picture 4"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PowerPoin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E8" w:rsidRPr="002411D7">
        <w:rPr>
          <w:noProof/>
        </w:rPr>
        <w:drawing>
          <wp:anchor distT="0" distB="0" distL="114300" distR="114300" simplePos="0" relativeHeight="251652096" behindDoc="0" locked="0" layoutInCell="1" allowOverlap="1" wp14:anchorId="01A5E393" wp14:editId="0CE5FC34">
            <wp:simplePos x="0" y="0"/>
            <wp:positionH relativeFrom="column">
              <wp:posOffset>-152400</wp:posOffset>
            </wp:positionH>
            <wp:positionV relativeFrom="paragraph">
              <wp:posOffset>809625</wp:posOffset>
            </wp:positionV>
            <wp:extent cx="1508289" cy="562421"/>
            <wp:effectExtent l="0" t="0" r="0" b="9525"/>
            <wp:wrapNone/>
            <wp:docPr id="6" name="Picture 6" descr="bath logo">
              <a:extLst xmlns:a="http://schemas.openxmlformats.org/drawingml/2006/main">
                <a:ext uri="{FF2B5EF4-FFF2-40B4-BE49-F238E27FC236}">
                  <a16:creationId xmlns:a16="http://schemas.microsoft.com/office/drawing/2014/main" id="{D003AB96-2174-815D-3A8D-63B077333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bath logo">
                      <a:extLst>
                        <a:ext uri="{FF2B5EF4-FFF2-40B4-BE49-F238E27FC236}">
                          <a16:creationId xmlns:a16="http://schemas.microsoft.com/office/drawing/2014/main" id="{D003AB96-2174-815D-3A8D-63B077333A6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3" r="10768" b="-8410"/>
                    <a:stretch/>
                  </pic:blipFill>
                  <pic:spPr bwMode="auto">
                    <a:xfrm>
                      <a:off x="0" y="0"/>
                      <a:ext cx="1508289" cy="562421"/>
                    </a:xfrm>
                    <a:prstGeom prst="rect">
                      <a:avLst/>
                    </a:prstGeom>
                    <a:noFill/>
                  </pic:spPr>
                </pic:pic>
              </a:graphicData>
            </a:graphic>
            <wp14:sizeRelH relativeFrom="page">
              <wp14:pctWidth>0</wp14:pctWidth>
            </wp14:sizeRelH>
            <wp14:sizeRelV relativeFrom="page">
              <wp14:pctHeight>0</wp14:pctHeight>
            </wp14:sizeRelV>
          </wp:anchor>
        </w:drawing>
      </w:r>
      <w:r w:rsidR="00F10029">
        <w:br w:type="page"/>
      </w:r>
    </w:p>
    <w:p w14:paraId="5712F786" w14:textId="30D095F5" w:rsidR="00F10029" w:rsidRDefault="0004256B" w:rsidP="0004256B">
      <w:pPr>
        <w:pStyle w:val="Heading1"/>
      </w:pPr>
      <w:r>
        <w:lastRenderedPageBreak/>
        <w:t>Contents</w:t>
      </w:r>
    </w:p>
    <w:p w14:paraId="386EDF93" w14:textId="77777777" w:rsidR="0004256B" w:rsidRPr="0004256B" w:rsidRDefault="0004256B" w:rsidP="0004256B"/>
    <w:tbl>
      <w:tblPr>
        <w:tblW w:w="10349" w:type="dxa"/>
        <w:tblInd w:w="-294" w:type="dxa"/>
        <w:tblCellMar>
          <w:left w:w="0" w:type="dxa"/>
          <w:right w:w="0" w:type="dxa"/>
        </w:tblCellMar>
        <w:tblLook w:val="0420" w:firstRow="1" w:lastRow="0" w:firstColumn="0" w:lastColumn="0" w:noHBand="0" w:noVBand="1"/>
      </w:tblPr>
      <w:tblGrid>
        <w:gridCol w:w="1910"/>
        <w:gridCol w:w="4919"/>
        <w:gridCol w:w="2966"/>
        <w:gridCol w:w="554"/>
      </w:tblGrid>
      <w:tr w:rsidR="00F35D2D" w:rsidRPr="00FC588C" w14:paraId="28842357" w14:textId="77777777" w:rsidTr="002569B0">
        <w:trPr>
          <w:trHeight w:val="20"/>
        </w:trPr>
        <w:tc>
          <w:tcPr>
            <w:tcW w:w="1910" w:type="dxa"/>
            <w:tcBorders>
              <w:top w:val="single" w:sz="8" w:space="0" w:color="FFFFFF"/>
              <w:left w:val="single" w:sz="8" w:space="0" w:color="FFFFFF"/>
              <w:bottom w:val="single" w:sz="24" w:space="0" w:color="FFFFFF"/>
              <w:right w:val="single" w:sz="8" w:space="0" w:color="FFFFFF"/>
            </w:tcBorders>
            <w:shd w:val="clear" w:color="auto" w:fill="41AEBD"/>
            <w:tcMar>
              <w:top w:w="72" w:type="dxa"/>
              <w:left w:w="144" w:type="dxa"/>
              <w:bottom w:w="72" w:type="dxa"/>
              <w:right w:w="144" w:type="dxa"/>
            </w:tcMar>
            <w:hideMark/>
          </w:tcPr>
          <w:p w14:paraId="5BE19D54" w14:textId="77777777" w:rsidR="00F35D2D" w:rsidRPr="00FC588C" w:rsidRDefault="00F35D2D" w:rsidP="00E859A1">
            <w:pPr>
              <w:spacing w:after="40"/>
              <w:rPr>
                <w:sz w:val="20"/>
                <w:szCs w:val="20"/>
                <w:lang w:val="en-US"/>
              </w:rPr>
            </w:pPr>
            <w:r w:rsidRPr="00F35D2D">
              <w:rPr>
                <w:b/>
                <w:bCs/>
                <w:sz w:val="20"/>
                <w:szCs w:val="20"/>
              </w:rPr>
              <w:t xml:space="preserve">Intervention Strategy </w:t>
            </w:r>
          </w:p>
        </w:tc>
        <w:tc>
          <w:tcPr>
            <w:tcW w:w="4919" w:type="dxa"/>
            <w:tcBorders>
              <w:top w:val="single" w:sz="8" w:space="0" w:color="FFFFFF"/>
              <w:left w:val="single" w:sz="8" w:space="0" w:color="FFFFFF"/>
              <w:bottom w:val="single" w:sz="24" w:space="0" w:color="FFFFFF"/>
              <w:right w:val="single" w:sz="8" w:space="0" w:color="FFFFFF"/>
            </w:tcBorders>
            <w:shd w:val="clear" w:color="auto" w:fill="41AEBD"/>
            <w:tcMar>
              <w:top w:w="72" w:type="dxa"/>
              <w:left w:w="144" w:type="dxa"/>
              <w:bottom w:w="72" w:type="dxa"/>
              <w:right w:w="144" w:type="dxa"/>
            </w:tcMar>
            <w:hideMark/>
          </w:tcPr>
          <w:p w14:paraId="795D9167" w14:textId="77777777" w:rsidR="00F35D2D" w:rsidRPr="00FC588C" w:rsidRDefault="00F35D2D" w:rsidP="00E859A1">
            <w:pPr>
              <w:spacing w:after="40"/>
              <w:rPr>
                <w:b/>
                <w:bCs/>
                <w:sz w:val="20"/>
                <w:szCs w:val="20"/>
                <w:lang w:val="en-US"/>
              </w:rPr>
            </w:pPr>
            <w:r w:rsidRPr="00F35D2D">
              <w:rPr>
                <w:b/>
                <w:bCs/>
                <w:sz w:val="20"/>
                <w:szCs w:val="20"/>
              </w:rPr>
              <w:t>Intervention Overview</w:t>
            </w:r>
          </w:p>
        </w:tc>
        <w:tc>
          <w:tcPr>
            <w:tcW w:w="2966" w:type="dxa"/>
            <w:tcBorders>
              <w:top w:val="single" w:sz="8" w:space="0" w:color="FFFFFF"/>
              <w:left w:val="single" w:sz="8" w:space="0" w:color="FFFFFF"/>
              <w:bottom w:val="single" w:sz="24" w:space="0" w:color="FFFFFF"/>
              <w:right w:val="single" w:sz="8" w:space="0" w:color="FFFFFF"/>
            </w:tcBorders>
            <w:shd w:val="clear" w:color="auto" w:fill="41AEBD"/>
          </w:tcPr>
          <w:p w14:paraId="15A02038" w14:textId="77777777" w:rsidR="00F35D2D" w:rsidRPr="00F35D2D" w:rsidRDefault="00F35D2D" w:rsidP="00E859A1">
            <w:pPr>
              <w:spacing w:after="40"/>
              <w:rPr>
                <w:b/>
                <w:bCs/>
                <w:sz w:val="20"/>
                <w:szCs w:val="20"/>
              </w:rPr>
            </w:pPr>
            <w:r w:rsidRPr="00FC588C">
              <w:rPr>
                <w:b/>
                <w:bCs/>
                <w:sz w:val="20"/>
                <w:szCs w:val="20"/>
              </w:rPr>
              <w:t>Who</w:t>
            </w:r>
            <w:r w:rsidRPr="00F35D2D">
              <w:rPr>
                <w:b/>
                <w:bCs/>
                <w:sz w:val="20"/>
                <w:szCs w:val="20"/>
              </w:rPr>
              <w:t>: school staff who might lead this intervention</w:t>
            </w:r>
          </w:p>
        </w:tc>
        <w:tc>
          <w:tcPr>
            <w:tcW w:w="554" w:type="dxa"/>
            <w:tcBorders>
              <w:top w:val="single" w:sz="8" w:space="0" w:color="FFFFFF"/>
              <w:left w:val="single" w:sz="8" w:space="0" w:color="FFFFFF"/>
              <w:bottom w:val="single" w:sz="24" w:space="0" w:color="FFFFFF"/>
              <w:right w:val="single" w:sz="8" w:space="0" w:color="FFFFFF"/>
            </w:tcBorders>
            <w:shd w:val="clear" w:color="auto" w:fill="41AEBD"/>
          </w:tcPr>
          <w:p w14:paraId="3B00CB4D" w14:textId="77777777" w:rsidR="00F35D2D" w:rsidRPr="00F35D2D" w:rsidRDefault="00F35D2D" w:rsidP="00E859A1">
            <w:pPr>
              <w:spacing w:after="40"/>
              <w:jc w:val="center"/>
              <w:rPr>
                <w:b/>
                <w:bCs/>
                <w:sz w:val="20"/>
                <w:szCs w:val="20"/>
              </w:rPr>
            </w:pPr>
            <w:r w:rsidRPr="00F35D2D">
              <w:rPr>
                <w:b/>
                <w:bCs/>
                <w:sz w:val="20"/>
                <w:szCs w:val="20"/>
              </w:rPr>
              <w:t>Page</w:t>
            </w:r>
          </w:p>
        </w:tc>
      </w:tr>
      <w:tr w:rsidR="00F35D2D" w:rsidRPr="00FC588C" w14:paraId="5D6CC3E9" w14:textId="77777777" w:rsidTr="002569B0">
        <w:trPr>
          <w:trHeight w:val="20"/>
        </w:trPr>
        <w:tc>
          <w:tcPr>
            <w:tcW w:w="1910" w:type="dxa"/>
            <w:tcBorders>
              <w:top w:val="single" w:sz="24"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704C7654" w14:textId="77777777" w:rsidR="00F35D2D" w:rsidRPr="00F35D2D" w:rsidRDefault="00F35D2D" w:rsidP="00E859A1">
            <w:pPr>
              <w:spacing w:after="40"/>
              <w:rPr>
                <w:sz w:val="20"/>
                <w:szCs w:val="20"/>
                <w:lang w:val="en-US"/>
              </w:rPr>
            </w:pPr>
            <w:r w:rsidRPr="00F35D2D">
              <w:rPr>
                <w:b/>
                <w:bCs/>
                <w:sz w:val="20"/>
                <w:szCs w:val="20"/>
              </w:rPr>
              <w:t xml:space="preserve">Personalised plans </w:t>
            </w:r>
          </w:p>
        </w:tc>
        <w:tc>
          <w:tcPr>
            <w:tcW w:w="4919" w:type="dxa"/>
            <w:tcBorders>
              <w:top w:val="single" w:sz="24"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4064576C" w14:textId="77777777" w:rsidR="00F35D2D" w:rsidRPr="00FC588C" w:rsidRDefault="00F35D2D" w:rsidP="00E859A1">
            <w:pPr>
              <w:spacing w:after="40"/>
              <w:rPr>
                <w:sz w:val="20"/>
                <w:szCs w:val="20"/>
                <w:lang w:val="en-US"/>
              </w:rPr>
            </w:pPr>
            <w:r w:rsidRPr="00FC588C">
              <w:rPr>
                <w:sz w:val="20"/>
                <w:szCs w:val="20"/>
                <w:lang w:val="en-US"/>
              </w:rPr>
              <w:t xml:space="preserve">Encouraging YPs to steer their own educational pathway by developing a </w:t>
            </w:r>
            <w:proofErr w:type="spellStart"/>
            <w:r w:rsidRPr="00FC588C">
              <w:rPr>
                <w:sz w:val="20"/>
                <w:szCs w:val="20"/>
                <w:lang w:val="en-US"/>
              </w:rPr>
              <w:t>personalised</w:t>
            </w:r>
            <w:proofErr w:type="spellEnd"/>
            <w:r w:rsidRPr="00FC588C">
              <w:rPr>
                <w:sz w:val="20"/>
                <w:szCs w:val="20"/>
                <w:lang w:val="en-US"/>
              </w:rPr>
              <w:t xml:space="preserve"> support plan.</w:t>
            </w:r>
          </w:p>
        </w:tc>
        <w:tc>
          <w:tcPr>
            <w:tcW w:w="2966" w:type="dxa"/>
            <w:tcBorders>
              <w:top w:val="single" w:sz="24" w:space="0" w:color="FFFFFF"/>
              <w:left w:val="single" w:sz="8" w:space="0" w:color="FFFFFF"/>
              <w:bottom w:val="single" w:sz="8" w:space="0" w:color="FFFFFF"/>
              <w:right w:val="single" w:sz="8" w:space="0" w:color="FFFFFF"/>
            </w:tcBorders>
            <w:shd w:val="clear" w:color="auto" w:fill="CFE3E8"/>
          </w:tcPr>
          <w:p w14:paraId="647A9B15" w14:textId="77777777" w:rsidR="00F35D2D" w:rsidRPr="00F35D2D" w:rsidRDefault="00F35D2D" w:rsidP="00E859A1">
            <w:pPr>
              <w:spacing w:after="40"/>
              <w:rPr>
                <w:sz w:val="20"/>
                <w:szCs w:val="20"/>
                <w:lang w:val="en-US"/>
              </w:rPr>
            </w:pPr>
            <w:r w:rsidRPr="00FC588C">
              <w:rPr>
                <w:sz w:val="20"/>
                <w:szCs w:val="20"/>
              </w:rPr>
              <w:t>Careers staff, SENDCos for Annual Review</w:t>
            </w:r>
          </w:p>
        </w:tc>
        <w:tc>
          <w:tcPr>
            <w:tcW w:w="554" w:type="dxa"/>
            <w:tcBorders>
              <w:top w:val="single" w:sz="24" w:space="0" w:color="FFFFFF"/>
              <w:left w:val="single" w:sz="8" w:space="0" w:color="FFFFFF"/>
              <w:bottom w:val="single" w:sz="8" w:space="0" w:color="FFFFFF"/>
              <w:right w:val="single" w:sz="8" w:space="0" w:color="FFFFFF"/>
            </w:tcBorders>
            <w:shd w:val="clear" w:color="auto" w:fill="CFE3E8"/>
          </w:tcPr>
          <w:p w14:paraId="4E9C4E18" w14:textId="79952CAD" w:rsidR="00F35D2D" w:rsidRPr="00F35D2D" w:rsidRDefault="00F35D2D" w:rsidP="00E859A1">
            <w:pPr>
              <w:spacing w:after="40"/>
              <w:jc w:val="center"/>
              <w:rPr>
                <w:sz w:val="20"/>
                <w:szCs w:val="20"/>
              </w:rPr>
            </w:pPr>
            <w:r>
              <w:rPr>
                <w:sz w:val="20"/>
                <w:szCs w:val="20"/>
              </w:rPr>
              <w:t>2</w:t>
            </w:r>
          </w:p>
        </w:tc>
      </w:tr>
      <w:tr w:rsidR="00F35D2D" w:rsidRPr="00FC588C" w14:paraId="55C87131"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30A4AFA4" w14:textId="77777777" w:rsidR="00F35D2D" w:rsidRPr="00FC588C" w:rsidRDefault="00F35D2D" w:rsidP="00E859A1">
            <w:pPr>
              <w:spacing w:after="40"/>
              <w:rPr>
                <w:sz w:val="20"/>
                <w:szCs w:val="20"/>
                <w:lang w:val="en-US"/>
              </w:rPr>
            </w:pPr>
            <w:r w:rsidRPr="00FC588C">
              <w:rPr>
                <w:b/>
                <w:bCs/>
                <w:sz w:val="20"/>
                <w:szCs w:val="20"/>
              </w:rPr>
              <w:t>Blended media mentoring</w:t>
            </w:r>
          </w:p>
        </w:tc>
        <w:tc>
          <w:tcPr>
            <w:tcW w:w="4919"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38F2F2EE" w14:textId="77777777" w:rsidR="00F35D2D" w:rsidRPr="00FC588C" w:rsidRDefault="00F35D2D" w:rsidP="00E859A1">
            <w:pPr>
              <w:spacing w:after="40"/>
              <w:rPr>
                <w:sz w:val="20"/>
                <w:szCs w:val="20"/>
                <w:lang w:val="en-US"/>
              </w:rPr>
            </w:pPr>
            <w:r w:rsidRPr="00FC588C">
              <w:rPr>
                <w:sz w:val="20"/>
                <w:szCs w:val="20"/>
                <w:lang w:val="en-US"/>
              </w:rPr>
              <w:t xml:space="preserve">Providing 1:1 mentor support using a range </w:t>
            </w:r>
            <w:proofErr w:type="gramStart"/>
            <w:r w:rsidRPr="00FC588C">
              <w:rPr>
                <w:sz w:val="20"/>
                <w:szCs w:val="20"/>
                <w:lang w:val="en-US"/>
              </w:rPr>
              <w:t>of  methods</w:t>
            </w:r>
            <w:proofErr w:type="gramEnd"/>
            <w:r w:rsidRPr="00FC588C">
              <w:rPr>
                <w:sz w:val="20"/>
                <w:szCs w:val="20"/>
                <w:lang w:val="en-US"/>
              </w:rPr>
              <w:t xml:space="preserve"> including face-to-face, email and social media.</w:t>
            </w:r>
          </w:p>
        </w:tc>
        <w:tc>
          <w:tcPr>
            <w:tcW w:w="2966" w:type="dxa"/>
            <w:tcBorders>
              <w:top w:val="single" w:sz="8" w:space="0" w:color="FFFFFF"/>
              <w:left w:val="single" w:sz="8" w:space="0" w:color="FFFFFF"/>
              <w:bottom w:val="single" w:sz="8" w:space="0" w:color="FFFFFF"/>
              <w:right w:val="single" w:sz="8" w:space="0" w:color="FFFFFF"/>
            </w:tcBorders>
            <w:shd w:val="clear" w:color="auto" w:fill="E8F2F4"/>
          </w:tcPr>
          <w:p w14:paraId="5B5E71D2" w14:textId="77777777" w:rsidR="00F35D2D" w:rsidRPr="00F35D2D" w:rsidRDefault="00F35D2D" w:rsidP="00E859A1">
            <w:pPr>
              <w:spacing w:after="40"/>
              <w:rPr>
                <w:sz w:val="20"/>
                <w:szCs w:val="20"/>
                <w:lang w:val="en-US"/>
              </w:rPr>
            </w:pPr>
            <w:r w:rsidRPr="00FC588C">
              <w:rPr>
                <w:sz w:val="20"/>
                <w:szCs w:val="20"/>
              </w:rPr>
              <w:t>Staff responsible for maintaining contact with YPs educated off-site/ part-time timetable</w:t>
            </w:r>
          </w:p>
        </w:tc>
        <w:tc>
          <w:tcPr>
            <w:tcW w:w="554" w:type="dxa"/>
            <w:tcBorders>
              <w:top w:val="single" w:sz="8" w:space="0" w:color="FFFFFF"/>
              <w:left w:val="single" w:sz="8" w:space="0" w:color="FFFFFF"/>
              <w:bottom w:val="single" w:sz="8" w:space="0" w:color="FFFFFF"/>
              <w:right w:val="single" w:sz="8" w:space="0" w:color="FFFFFF"/>
            </w:tcBorders>
            <w:shd w:val="clear" w:color="auto" w:fill="E8F2F4"/>
          </w:tcPr>
          <w:p w14:paraId="51416B91" w14:textId="2BFF295F" w:rsidR="00F35D2D" w:rsidRPr="00F35D2D" w:rsidRDefault="00F35D2D" w:rsidP="00E859A1">
            <w:pPr>
              <w:spacing w:after="40"/>
              <w:jc w:val="center"/>
              <w:rPr>
                <w:sz w:val="20"/>
                <w:szCs w:val="20"/>
              </w:rPr>
            </w:pPr>
            <w:r>
              <w:rPr>
                <w:sz w:val="20"/>
                <w:szCs w:val="20"/>
              </w:rPr>
              <w:t>2</w:t>
            </w:r>
          </w:p>
        </w:tc>
      </w:tr>
      <w:tr w:rsidR="00F35D2D" w:rsidRPr="00FC588C" w14:paraId="4019BC1C"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05AB44A3" w14:textId="77777777" w:rsidR="00F35D2D" w:rsidRPr="00FC588C" w:rsidRDefault="00F35D2D" w:rsidP="00E859A1">
            <w:pPr>
              <w:spacing w:after="40"/>
              <w:rPr>
                <w:sz w:val="20"/>
                <w:szCs w:val="20"/>
                <w:lang w:val="en-US"/>
              </w:rPr>
            </w:pPr>
            <w:r w:rsidRPr="00FC588C">
              <w:rPr>
                <w:b/>
                <w:bCs/>
                <w:sz w:val="20"/>
                <w:szCs w:val="20"/>
              </w:rPr>
              <w:t>Personal development activities</w:t>
            </w:r>
          </w:p>
        </w:tc>
        <w:tc>
          <w:tcPr>
            <w:tcW w:w="4919"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1674E0E8" w14:textId="2D34F6D6" w:rsidR="00F35D2D" w:rsidRPr="00FC588C" w:rsidRDefault="007939C1" w:rsidP="00E859A1">
            <w:pPr>
              <w:spacing w:after="40"/>
              <w:rPr>
                <w:sz w:val="20"/>
                <w:szCs w:val="20"/>
                <w:lang w:val="en-US"/>
              </w:rPr>
            </w:pPr>
            <w:r>
              <w:rPr>
                <w:sz w:val="20"/>
                <w:szCs w:val="20"/>
                <w:lang w:val="en-US"/>
              </w:rPr>
              <w:t>Activities</w:t>
            </w:r>
            <w:r w:rsidR="00F35D2D" w:rsidRPr="00FC588C">
              <w:rPr>
                <w:sz w:val="20"/>
                <w:szCs w:val="20"/>
                <w:lang w:val="en-US"/>
              </w:rPr>
              <w:t xml:space="preserve"> to improve </w:t>
            </w:r>
            <w:r>
              <w:rPr>
                <w:sz w:val="20"/>
                <w:szCs w:val="20"/>
                <w:lang w:val="en-US"/>
              </w:rPr>
              <w:t>students’</w:t>
            </w:r>
            <w:r w:rsidR="00F35D2D" w:rsidRPr="00FC588C">
              <w:rPr>
                <w:sz w:val="20"/>
                <w:szCs w:val="20"/>
                <w:lang w:val="en-US"/>
              </w:rPr>
              <w:t xml:space="preserve"> self-concep</w:t>
            </w:r>
            <w:r>
              <w:rPr>
                <w:sz w:val="20"/>
                <w:szCs w:val="20"/>
                <w:lang w:val="en-US"/>
              </w:rPr>
              <w:t>t, feel a sense of belonging and view themselves as a valued learner.</w:t>
            </w:r>
            <w:r w:rsidR="00F35D2D" w:rsidRPr="00FC588C">
              <w:rPr>
                <w:sz w:val="20"/>
                <w:szCs w:val="20"/>
                <w:lang w:val="en-US"/>
              </w:rPr>
              <w:t xml:space="preserve"> </w:t>
            </w:r>
          </w:p>
        </w:tc>
        <w:tc>
          <w:tcPr>
            <w:tcW w:w="2966" w:type="dxa"/>
            <w:tcBorders>
              <w:top w:val="single" w:sz="8" w:space="0" w:color="FFFFFF"/>
              <w:left w:val="single" w:sz="8" w:space="0" w:color="FFFFFF"/>
              <w:bottom w:val="single" w:sz="8" w:space="0" w:color="FFFFFF"/>
              <w:right w:val="single" w:sz="8" w:space="0" w:color="FFFFFF"/>
            </w:tcBorders>
            <w:shd w:val="clear" w:color="auto" w:fill="CFE3E8"/>
          </w:tcPr>
          <w:p w14:paraId="1CE4E6E5" w14:textId="77777777" w:rsidR="00F35D2D" w:rsidRPr="00F35D2D" w:rsidRDefault="00F35D2D" w:rsidP="00E859A1">
            <w:pPr>
              <w:spacing w:after="40"/>
              <w:rPr>
                <w:sz w:val="20"/>
                <w:szCs w:val="20"/>
                <w:lang w:val="en-US"/>
              </w:rPr>
            </w:pPr>
            <w:r w:rsidRPr="00FC588C">
              <w:rPr>
                <w:sz w:val="20"/>
                <w:szCs w:val="20"/>
              </w:rPr>
              <w:t>Form Tutor, PSHE, TAs, Contracted Mentors, Mental Health Support Teams</w:t>
            </w:r>
          </w:p>
        </w:tc>
        <w:tc>
          <w:tcPr>
            <w:tcW w:w="554" w:type="dxa"/>
            <w:tcBorders>
              <w:top w:val="single" w:sz="8" w:space="0" w:color="FFFFFF"/>
              <w:left w:val="single" w:sz="8" w:space="0" w:color="FFFFFF"/>
              <w:bottom w:val="single" w:sz="8" w:space="0" w:color="FFFFFF"/>
              <w:right w:val="single" w:sz="8" w:space="0" w:color="FFFFFF"/>
            </w:tcBorders>
            <w:shd w:val="clear" w:color="auto" w:fill="CFE3E8"/>
          </w:tcPr>
          <w:p w14:paraId="147AA507" w14:textId="2D89F2BF" w:rsidR="00F35D2D" w:rsidRPr="00F35D2D" w:rsidRDefault="004E1BB0" w:rsidP="00E859A1">
            <w:pPr>
              <w:spacing w:after="40"/>
              <w:jc w:val="center"/>
              <w:rPr>
                <w:sz w:val="20"/>
                <w:szCs w:val="20"/>
              </w:rPr>
            </w:pPr>
            <w:r>
              <w:rPr>
                <w:sz w:val="20"/>
                <w:szCs w:val="20"/>
              </w:rPr>
              <w:t>3</w:t>
            </w:r>
          </w:p>
        </w:tc>
      </w:tr>
      <w:tr w:rsidR="00F35D2D" w:rsidRPr="00FC588C" w14:paraId="04A930CA"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36524B59" w14:textId="77777777" w:rsidR="00F35D2D" w:rsidRPr="00FC588C" w:rsidRDefault="00F35D2D" w:rsidP="00E859A1">
            <w:pPr>
              <w:spacing w:after="40"/>
              <w:rPr>
                <w:sz w:val="20"/>
                <w:szCs w:val="20"/>
                <w:lang w:val="en-US"/>
              </w:rPr>
            </w:pPr>
            <w:r w:rsidRPr="00FC588C">
              <w:rPr>
                <w:b/>
                <w:bCs/>
                <w:sz w:val="20"/>
                <w:szCs w:val="20"/>
              </w:rPr>
              <w:t>Peer to peer learning &amp; support</w:t>
            </w:r>
          </w:p>
        </w:tc>
        <w:tc>
          <w:tcPr>
            <w:tcW w:w="4919"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0E21729F" w14:textId="77777777" w:rsidR="00F35D2D" w:rsidRPr="00FC588C" w:rsidRDefault="00F35D2D" w:rsidP="00E859A1">
            <w:pPr>
              <w:spacing w:after="40"/>
              <w:rPr>
                <w:sz w:val="20"/>
                <w:szCs w:val="20"/>
                <w:lang w:val="en-US"/>
              </w:rPr>
            </w:pPr>
            <w:r w:rsidRPr="00FC588C">
              <w:rPr>
                <w:sz w:val="20"/>
                <w:szCs w:val="20"/>
                <w:lang w:val="en-US"/>
              </w:rPr>
              <w:t>Facilitating support and social interaction with a role model peer from a similar cohort</w:t>
            </w:r>
          </w:p>
        </w:tc>
        <w:tc>
          <w:tcPr>
            <w:tcW w:w="2966" w:type="dxa"/>
            <w:tcBorders>
              <w:top w:val="single" w:sz="8" w:space="0" w:color="FFFFFF"/>
              <w:left w:val="single" w:sz="8" w:space="0" w:color="FFFFFF"/>
              <w:bottom w:val="single" w:sz="8" w:space="0" w:color="FFFFFF"/>
              <w:right w:val="single" w:sz="8" w:space="0" w:color="FFFFFF"/>
            </w:tcBorders>
            <w:shd w:val="clear" w:color="auto" w:fill="E8F2F4"/>
          </w:tcPr>
          <w:p w14:paraId="3436F6B5" w14:textId="77777777" w:rsidR="00F35D2D" w:rsidRPr="00F35D2D" w:rsidRDefault="00F35D2D" w:rsidP="00E859A1">
            <w:pPr>
              <w:spacing w:after="40"/>
              <w:rPr>
                <w:sz w:val="20"/>
                <w:szCs w:val="20"/>
                <w:lang w:val="en-US"/>
              </w:rPr>
            </w:pPr>
            <w:r w:rsidRPr="00FC588C">
              <w:rPr>
                <w:sz w:val="20"/>
                <w:szCs w:val="20"/>
              </w:rPr>
              <w:t>SENDCo’s, Wellbeing leads</w:t>
            </w:r>
          </w:p>
        </w:tc>
        <w:tc>
          <w:tcPr>
            <w:tcW w:w="554" w:type="dxa"/>
            <w:tcBorders>
              <w:top w:val="single" w:sz="8" w:space="0" w:color="FFFFFF"/>
              <w:left w:val="single" w:sz="8" w:space="0" w:color="FFFFFF"/>
              <w:bottom w:val="single" w:sz="8" w:space="0" w:color="FFFFFF"/>
              <w:right w:val="single" w:sz="8" w:space="0" w:color="FFFFFF"/>
            </w:tcBorders>
            <w:shd w:val="clear" w:color="auto" w:fill="E8F2F4"/>
          </w:tcPr>
          <w:p w14:paraId="3BA35964" w14:textId="5A1AADE6" w:rsidR="00F35D2D" w:rsidRPr="00F35D2D" w:rsidRDefault="004E1BB0" w:rsidP="00E859A1">
            <w:pPr>
              <w:spacing w:after="40"/>
              <w:jc w:val="center"/>
              <w:rPr>
                <w:sz w:val="20"/>
                <w:szCs w:val="20"/>
              </w:rPr>
            </w:pPr>
            <w:r>
              <w:rPr>
                <w:sz w:val="20"/>
                <w:szCs w:val="20"/>
              </w:rPr>
              <w:t>3</w:t>
            </w:r>
          </w:p>
        </w:tc>
      </w:tr>
      <w:tr w:rsidR="00F35D2D" w:rsidRPr="00FC588C" w14:paraId="61DC19CB"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69C17897" w14:textId="77777777" w:rsidR="00F35D2D" w:rsidRPr="00FC588C" w:rsidRDefault="00F35D2D" w:rsidP="00E859A1">
            <w:pPr>
              <w:spacing w:after="40"/>
              <w:rPr>
                <w:sz w:val="20"/>
                <w:szCs w:val="20"/>
                <w:lang w:val="en-US"/>
              </w:rPr>
            </w:pPr>
            <w:r w:rsidRPr="00FC588C">
              <w:rPr>
                <w:b/>
                <w:bCs/>
                <w:sz w:val="20"/>
                <w:szCs w:val="20"/>
              </w:rPr>
              <w:t xml:space="preserve">Family support &amp; engagement </w:t>
            </w:r>
          </w:p>
        </w:tc>
        <w:tc>
          <w:tcPr>
            <w:tcW w:w="4919"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3E3C3670" w14:textId="77777777" w:rsidR="00F35D2D" w:rsidRPr="00FC588C" w:rsidRDefault="00F35D2D" w:rsidP="00E859A1">
            <w:pPr>
              <w:spacing w:after="40"/>
              <w:rPr>
                <w:sz w:val="20"/>
                <w:szCs w:val="20"/>
                <w:lang w:val="en-US"/>
              </w:rPr>
            </w:pPr>
            <w:r w:rsidRPr="00FC588C">
              <w:rPr>
                <w:sz w:val="20"/>
                <w:szCs w:val="20"/>
                <w:lang w:val="en-US"/>
              </w:rPr>
              <w:t>Promoting family engagement and community participation</w:t>
            </w:r>
          </w:p>
        </w:tc>
        <w:tc>
          <w:tcPr>
            <w:tcW w:w="2966" w:type="dxa"/>
            <w:tcBorders>
              <w:top w:val="single" w:sz="8" w:space="0" w:color="FFFFFF"/>
              <w:left w:val="single" w:sz="8" w:space="0" w:color="FFFFFF"/>
              <w:bottom w:val="single" w:sz="8" w:space="0" w:color="FFFFFF"/>
              <w:right w:val="single" w:sz="8" w:space="0" w:color="FFFFFF"/>
            </w:tcBorders>
            <w:shd w:val="clear" w:color="auto" w:fill="CFE3E8"/>
          </w:tcPr>
          <w:p w14:paraId="27012AA6" w14:textId="77777777" w:rsidR="00F35D2D" w:rsidRPr="00F35D2D" w:rsidRDefault="00F35D2D" w:rsidP="00E859A1">
            <w:pPr>
              <w:spacing w:after="40"/>
              <w:rPr>
                <w:sz w:val="20"/>
                <w:szCs w:val="20"/>
                <w:lang w:val="en-US"/>
              </w:rPr>
            </w:pPr>
            <w:r w:rsidRPr="00FC588C">
              <w:rPr>
                <w:sz w:val="20"/>
                <w:szCs w:val="20"/>
              </w:rPr>
              <w:t xml:space="preserve">PFSAs, Family Support Workers, Attendance Officers, Pastoral Leads, </w:t>
            </w:r>
          </w:p>
        </w:tc>
        <w:tc>
          <w:tcPr>
            <w:tcW w:w="554" w:type="dxa"/>
            <w:tcBorders>
              <w:top w:val="single" w:sz="8" w:space="0" w:color="FFFFFF"/>
              <w:left w:val="single" w:sz="8" w:space="0" w:color="FFFFFF"/>
              <w:bottom w:val="single" w:sz="8" w:space="0" w:color="FFFFFF"/>
              <w:right w:val="single" w:sz="8" w:space="0" w:color="FFFFFF"/>
            </w:tcBorders>
            <w:shd w:val="clear" w:color="auto" w:fill="CFE3E8"/>
          </w:tcPr>
          <w:p w14:paraId="72CDF27A" w14:textId="067B852B" w:rsidR="00F35D2D" w:rsidRPr="00F35D2D" w:rsidRDefault="004E1BB0" w:rsidP="00E859A1">
            <w:pPr>
              <w:spacing w:after="40"/>
              <w:jc w:val="center"/>
              <w:rPr>
                <w:sz w:val="20"/>
                <w:szCs w:val="20"/>
              </w:rPr>
            </w:pPr>
            <w:r>
              <w:rPr>
                <w:sz w:val="20"/>
                <w:szCs w:val="20"/>
              </w:rPr>
              <w:t>4</w:t>
            </w:r>
          </w:p>
        </w:tc>
      </w:tr>
      <w:tr w:rsidR="00F35D2D" w:rsidRPr="00FC588C" w14:paraId="3B33BB4E"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53D67B1A" w14:textId="119062A5" w:rsidR="00F35D2D" w:rsidRPr="00FC588C" w:rsidRDefault="00F35D2D" w:rsidP="00E859A1">
            <w:pPr>
              <w:spacing w:after="40"/>
              <w:rPr>
                <w:sz w:val="20"/>
                <w:szCs w:val="20"/>
                <w:lang w:val="en-US"/>
              </w:rPr>
            </w:pPr>
            <w:r w:rsidRPr="00FC588C">
              <w:rPr>
                <w:b/>
                <w:bCs/>
                <w:sz w:val="20"/>
                <w:szCs w:val="20"/>
              </w:rPr>
              <w:t>Support</w:t>
            </w:r>
            <w:r w:rsidR="00C91E60">
              <w:rPr>
                <w:b/>
                <w:bCs/>
                <w:sz w:val="20"/>
                <w:szCs w:val="20"/>
              </w:rPr>
              <w:t xml:space="preserve">ing </w:t>
            </w:r>
            <w:r w:rsidRPr="00FC588C">
              <w:rPr>
                <w:b/>
                <w:bCs/>
                <w:sz w:val="20"/>
                <w:szCs w:val="20"/>
              </w:rPr>
              <w:t xml:space="preserve">learning outside the formal curriculum </w:t>
            </w:r>
          </w:p>
        </w:tc>
        <w:tc>
          <w:tcPr>
            <w:tcW w:w="4919"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663D8609" w14:textId="77777777" w:rsidR="00F35D2D" w:rsidRPr="00FC588C" w:rsidRDefault="00F35D2D" w:rsidP="00E859A1">
            <w:pPr>
              <w:spacing w:after="40"/>
              <w:rPr>
                <w:sz w:val="20"/>
                <w:szCs w:val="20"/>
                <w:lang w:val="en-US"/>
              </w:rPr>
            </w:pPr>
            <w:r w:rsidRPr="00FC588C">
              <w:rPr>
                <w:sz w:val="20"/>
                <w:szCs w:val="20"/>
                <w:lang w:val="en-US"/>
              </w:rPr>
              <w:t xml:space="preserve">Providing support for YP’s learning outside of the </w:t>
            </w:r>
            <w:proofErr w:type="gramStart"/>
            <w:r w:rsidRPr="00FC588C">
              <w:rPr>
                <w:sz w:val="20"/>
                <w:szCs w:val="20"/>
                <w:lang w:val="en-US"/>
              </w:rPr>
              <w:t>formal  curriculum</w:t>
            </w:r>
            <w:proofErr w:type="gramEnd"/>
            <w:r w:rsidRPr="00FC588C">
              <w:rPr>
                <w:sz w:val="20"/>
                <w:szCs w:val="20"/>
                <w:lang w:val="en-US"/>
              </w:rPr>
              <w:t>, within or outside school.</w:t>
            </w:r>
          </w:p>
        </w:tc>
        <w:tc>
          <w:tcPr>
            <w:tcW w:w="2966" w:type="dxa"/>
            <w:tcBorders>
              <w:top w:val="single" w:sz="8" w:space="0" w:color="FFFFFF"/>
              <w:left w:val="single" w:sz="8" w:space="0" w:color="FFFFFF"/>
              <w:bottom w:val="single" w:sz="8" w:space="0" w:color="FFFFFF"/>
              <w:right w:val="single" w:sz="8" w:space="0" w:color="FFFFFF"/>
            </w:tcBorders>
            <w:shd w:val="clear" w:color="auto" w:fill="E8F2F4"/>
          </w:tcPr>
          <w:p w14:paraId="614BEF32" w14:textId="012962E9" w:rsidR="00F35D2D" w:rsidRPr="00F35D2D" w:rsidRDefault="00F35D2D" w:rsidP="00E859A1">
            <w:pPr>
              <w:spacing w:after="40"/>
              <w:rPr>
                <w:sz w:val="20"/>
                <w:szCs w:val="20"/>
                <w:lang w:val="en-US"/>
              </w:rPr>
            </w:pPr>
            <w:r w:rsidRPr="00FC588C">
              <w:rPr>
                <w:sz w:val="20"/>
                <w:szCs w:val="20"/>
              </w:rPr>
              <w:t>Staff responsible for extra-curricular provision/ T</w:t>
            </w:r>
            <w:r w:rsidR="00F820A9">
              <w:rPr>
                <w:sz w:val="20"/>
                <w:szCs w:val="20"/>
              </w:rPr>
              <w:t>A</w:t>
            </w:r>
            <w:r w:rsidRPr="00FC588C">
              <w:rPr>
                <w:sz w:val="20"/>
                <w:szCs w:val="20"/>
              </w:rPr>
              <w:t>s/ Contracted Mentors</w:t>
            </w:r>
          </w:p>
        </w:tc>
        <w:tc>
          <w:tcPr>
            <w:tcW w:w="554" w:type="dxa"/>
            <w:tcBorders>
              <w:top w:val="single" w:sz="8" w:space="0" w:color="FFFFFF"/>
              <w:left w:val="single" w:sz="8" w:space="0" w:color="FFFFFF"/>
              <w:bottom w:val="single" w:sz="8" w:space="0" w:color="FFFFFF"/>
              <w:right w:val="single" w:sz="8" w:space="0" w:color="FFFFFF"/>
            </w:tcBorders>
            <w:shd w:val="clear" w:color="auto" w:fill="E8F2F4"/>
          </w:tcPr>
          <w:p w14:paraId="39242888" w14:textId="49F7A28A" w:rsidR="00F35D2D" w:rsidRPr="00F35D2D" w:rsidRDefault="004E1BB0" w:rsidP="00E859A1">
            <w:pPr>
              <w:spacing w:after="40"/>
              <w:jc w:val="center"/>
              <w:rPr>
                <w:sz w:val="20"/>
                <w:szCs w:val="20"/>
              </w:rPr>
            </w:pPr>
            <w:r>
              <w:rPr>
                <w:sz w:val="20"/>
                <w:szCs w:val="20"/>
              </w:rPr>
              <w:t>4</w:t>
            </w:r>
          </w:p>
        </w:tc>
      </w:tr>
      <w:tr w:rsidR="00F35D2D" w:rsidRPr="00FC588C" w14:paraId="69244652"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4AA56744" w14:textId="77777777" w:rsidR="00F35D2D" w:rsidRPr="00FC588C" w:rsidRDefault="00F35D2D" w:rsidP="00E859A1">
            <w:pPr>
              <w:spacing w:after="40"/>
              <w:rPr>
                <w:sz w:val="20"/>
                <w:szCs w:val="20"/>
                <w:lang w:val="en-US"/>
              </w:rPr>
            </w:pPr>
            <w:r w:rsidRPr="00FC588C">
              <w:rPr>
                <w:b/>
                <w:bCs/>
                <w:sz w:val="20"/>
                <w:szCs w:val="20"/>
              </w:rPr>
              <w:t>Establishing local community links</w:t>
            </w:r>
          </w:p>
        </w:tc>
        <w:tc>
          <w:tcPr>
            <w:tcW w:w="4919"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467783EE" w14:textId="77777777" w:rsidR="00F35D2D" w:rsidRPr="00FC588C" w:rsidRDefault="00F35D2D" w:rsidP="00E859A1">
            <w:pPr>
              <w:spacing w:after="40"/>
              <w:rPr>
                <w:sz w:val="20"/>
                <w:szCs w:val="20"/>
                <w:lang w:val="en-US"/>
              </w:rPr>
            </w:pPr>
            <w:r w:rsidRPr="00FC588C">
              <w:rPr>
                <w:sz w:val="20"/>
                <w:szCs w:val="20"/>
                <w:lang w:val="en-US"/>
              </w:rPr>
              <w:t xml:space="preserve">Improving relations between the </w:t>
            </w:r>
            <w:proofErr w:type="gramStart"/>
            <w:r w:rsidRPr="00FC588C">
              <w:rPr>
                <w:sz w:val="20"/>
                <w:szCs w:val="20"/>
                <w:lang w:val="en-US"/>
              </w:rPr>
              <w:t>school  to</w:t>
            </w:r>
            <w:proofErr w:type="gramEnd"/>
            <w:r w:rsidRPr="00FC588C">
              <w:rPr>
                <w:sz w:val="20"/>
                <w:szCs w:val="20"/>
                <w:lang w:val="en-US"/>
              </w:rPr>
              <w:t xml:space="preserve"> focus on YP’s social and  educational development.</w:t>
            </w:r>
          </w:p>
        </w:tc>
        <w:tc>
          <w:tcPr>
            <w:tcW w:w="2966" w:type="dxa"/>
            <w:tcBorders>
              <w:top w:val="single" w:sz="8" w:space="0" w:color="FFFFFF"/>
              <w:left w:val="single" w:sz="8" w:space="0" w:color="FFFFFF"/>
              <w:bottom w:val="single" w:sz="8" w:space="0" w:color="FFFFFF"/>
              <w:right w:val="single" w:sz="8" w:space="0" w:color="FFFFFF"/>
            </w:tcBorders>
            <w:shd w:val="clear" w:color="auto" w:fill="CFE3E8"/>
          </w:tcPr>
          <w:p w14:paraId="720D0E56" w14:textId="77777777" w:rsidR="00F35D2D" w:rsidRPr="00F35D2D" w:rsidRDefault="00F35D2D" w:rsidP="00E859A1">
            <w:pPr>
              <w:spacing w:after="40"/>
              <w:rPr>
                <w:sz w:val="20"/>
                <w:szCs w:val="20"/>
                <w:lang w:val="en-US"/>
              </w:rPr>
            </w:pPr>
            <w:r w:rsidRPr="00FC588C">
              <w:rPr>
                <w:sz w:val="20"/>
                <w:szCs w:val="20"/>
              </w:rPr>
              <w:t>Pastoral and PSHE/Wellbeing Leads</w:t>
            </w:r>
          </w:p>
        </w:tc>
        <w:tc>
          <w:tcPr>
            <w:tcW w:w="554" w:type="dxa"/>
            <w:tcBorders>
              <w:top w:val="single" w:sz="8" w:space="0" w:color="FFFFFF"/>
              <w:left w:val="single" w:sz="8" w:space="0" w:color="FFFFFF"/>
              <w:bottom w:val="single" w:sz="8" w:space="0" w:color="FFFFFF"/>
              <w:right w:val="single" w:sz="8" w:space="0" w:color="FFFFFF"/>
            </w:tcBorders>
            <w:shd w:val="clear" w:color="auto" w:fill="CFE3E8"/>
          </w:tcPr>
          <w:p w14:paraId="79EBE104" w14:textId="36E22311" w:rsidR="00F35D2D" w:rsidRPr="00F35D2D" w:rsidRDefault="004E1BB0" w:rsidP="00E859A1">
            <w:pPr>
              <w:spacing w:after="40"/>
              <w:jc w:val="center"/>
              <w:rPr>
                <w:sz w:val="20"/>
                <w:szCs w:val="20"/>
              </w:rPr>
            </w:pPr>
            <w:r>
              <w:rPr>
                <w:sz w:val="20"/>
                <w:szCs w:val="20"/>
              </w:rPr>
              <w:t>5</w:t>
            </w:r>
          </w:p>
        </w:tc>
      </w:tr>
      <w:tr w:rsidR="00F35D2D" w:rsidRPr="00FC588C" w14:paraId="515F6C4D"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2FAA98F9" w14:textId="77777777" w:rsidR="00F35D2D" w:rsidRPr="00FC588C" w:rsidRDefault="00F35D2D" w:rsidP="00E859A1">
            <w:pPr>
              <w:spacing w:after="40"/>
              <w:rPr>
                <w:sz w:val="20"/>
                <w:szCs w:val="20"/>
                <w:lang w:val="en-US"/>
              </w:rPr>
            </w:pPr>
            <w:r w:rsidRPr="00FC588C">
              <w:rPr>
                <w:b/>
                <w:bCs/>
                <w:sz w:val="20"/>
                <w:szCs w:val="20"/>
              </w:rPr>
              <w:t xml:space="preserve">Learning pathway and careers advice </w:t>
            </w:r>
          </w:p>
        </w:tc>
        <w:tc>
          <w:tcPr>
            <w:tcW w:w="4919"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3EBB527D" w14:textId="3D1CCCC8" w:rsidR="00F35D2D" w:rsidRPr="00FC588C" w:rsidRDefault="00F820A9" w:rsidP="00E859A1">
            <w:pPr>
              <w:spacing w:after="40"/>
              <w:rPr>
                <w:sz w:val="20"/>
                <w:szCs w:val="20"/>
                <w:lang w:val="en-US"/>
              </w:rPr>
            </w:pPr>
            <w:r>
              <w:rPr>
                <w:sz w:val="20"/>
                <w:szCs w:val="20"/>
                <w:lang w:val="en-US"/>
              </w:rPr>
              <w:t>Enabling</w:t>
            </w:r>
            <w:r w:rsidR="00F35D2D" w:rsidRPr="00FC588C">
              <w:rPr>
                <w:sz w:val="20"/>
                <w:szCs w:val="20"/>
                <w:lang w:val="en-US"/>
              </w:rPr>
              <w:t xml:space="preserve"> </w:t>
            </w:r>
            <w:r>
              <w:rPr>
                <w:sz w:val="20"/>
                <w:szCs w:val="20"/>
                <w:lang w:val="en-US"/>
              </w:rPr>
              <w:t>students</w:t>
            </w:r>
            <w:r w:rsidR="00F35D2D" w:rsidRPr="00FC588C">
              <w:rPr>
                <w:sz w:val="20"/>
                <w:szCs w:val="20"/>
                <w:lang w:val="en-US"/>
              </w:rPr>
              <w:t xml:space="preserve"> to adapt </w:t>
            </w:r>
            <w:r>
              <w:rPr>
                <w:sz w:val="20"/>
                <w:szCs w:val="20"/>
                <w:lang w:val="en-US"/>
              </w:rPr>
              <w:t xml:space="preserve">their </w:t>
            </w:r>
            <w:r w:rsidR="00F35D2D" w:rsidRPr="00FC588C">
              <w:rPr>
                <w:sz w:val="20"/>
                <w:szCs w:val="20"/>
                <w:lang w:val="en-US"/>
              </w:rPr>
              <w:t xml:space="preserve">pathway into the </w:t>
            </w:r>
            <w:proofErr w:type="spellStart"/>
            <w:r w:rsidR="00F35D2D" w:rsidRPr="00FC588C">
              <w:rPr>
                <w:sz w:val="20"/>
                <w:szCs w:val="20"/>
                <w:lang w:val="en-US"/>
              </w:rPr>
              <w:t>labour</w:t>
            </w:r>
            <w:proofErr w:type="spellEnd"/>
            <w:r w:rsidR="00F35D2D" w:rsidRPr="00FC588C">
              <w:rPr>
                <w:sz w:val="20"/>
                <w:szCs w:val="20"/>
                <w:lang w:val="en-US"/>
              </w:rPr>
              <w:t xml:space="preserve"> market to their interests and abilities.</w:t>
            </w:r>
          </w:p>
        </w:tc>
        <w:tc>
          <w:tcPr>
            <w:tcW w:w="2966" w:type="dxa"/>
            <w:tcBorders>
              <w:top w:val="single" w:sz="8" w:space="0" w:color="FFFFFF"/>
              <w:left w:val="single" w:sz="8" w:space="0" w:color="FFFFFF"/>
              <w:bottom w:val="single" w:sz="8" w:space="0" w:color="FFFFFF"/>
              <w:right w:val="single" w:sz="8" w:space="0" w:color="FFFFFF"/>
            </w:tcBorders>
            <w:shd w:val="clear" w:color="auto" w:fill="E8F2F4"/>
          </w:tcPr>
          <w:p w14:paraId="33584A92" w14:textId="6FF201D8" w:rsidR="00F35D2D" w:rsidRPr="00F35D2D" w:rsidRDefault="00F35D2D" w:rsidP="00E859A1">
            <w:pPr>
              <w:spacing w:after="40"/>
              <w:rPr>
                <w:sz w:val="20"/>
                <w:szCs w:val="20"/>
                <w:lang w:val="en-US"/>
              </w:rPr>
            </w:pPr>
            <w:r w:rsidRPr="00FC588C">
              <w:rPr>
                <w:sz w:val="20"/>
                <w:szCs w:val="20"/>
              </w:rPr>
              <w:t xml:space="preserve">Careers staff, SENDCos for </w:t>
            </w:r>
            <w:r w:rsidR="007939C1">
              <w:rPr>
                <w:sz w:val="20"/>
                <w:szCs w:val="20"/>
              </w:rPr>
              <w:t>AR,</w:t>
            </w:r>
            <w:r w:rsidRPr="00F35D2D">
              <w:rPr>
                <w:sz w:val="20"/>
                <w:szCs w:val="20"/>
              </w:rPr>
              <w:t xml:space="preserve"> Senior Leaders for Curriculum, </w:t>
            </w:r>
          </w:p>
        </w:tc>
        <w:tc>
          <w:tcPr>
            <w:tcW w:w="554" w:type="dxa"/>
            <w:tcBorders>
              <w:top w:val="single" w:sz="8" w:space="0" w:color="FFFFFF"/>
              <w:left w:val="single" w:sz="8" w:space="0" w:color="FFFFFF"/>
              <w:bottom w:val="single" w:sz="8" w:space="0" w:color="FFFFFF"/>
              <w:right w:val="single" w:sz="8" w:space="0" w:color="FFFFFF"/>
            </w:tcBorders>
            <w:shd w:val="clear" w:color="auto" w:fill="E8F2F4"/>
          </w:tcPr>
          <w:p w14:paraId="5D318F9D" w14:textId="5F53A976" w:rsidR="00F35D2D" w:rsidRPr="00F35D2D" w:rsidRDefault="004E1BB0" w:rsidP="00E859A1">
            <w:pPr>
              <w:spacing w:after="40"/>
              <w:jc w:val="center"/>
              <w:rPr>
                <w:sz w:val="20"/>
                <w:szCs w:val="20"/>
              </w:rPr>
            </w:pPr>
            <w:r>
              <w:rPr>
                <w:sz w:val="20"/>
                <w:szCs w:val="20"/>
              </w:rPr>
              <w:t>5</w:t>
            </w:r>
          </w:p>
        </w:tc>
      </w:tr>
      <w:tr w:rsidR="00F35D2D" w:rsidRPr="00FC588C" w14:paraId="48B40E9F"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54CA9FE3" w14:textId="77777777" w:rsidR="00F35D2D" w:rsidRPr="00FC588C" w:rsidRDefault="00F35D2D" w:rsidP="00E859A1">
            <w:pPr>
              <w:spacing w:after="40"/>
              <w:rPr>
                <w:sz w:val="20"/>
                <w:szCs w:val="20"/>
                <w:lang w:val="en-US"/>
              </w:rPr>
            </w:pPr>
            <w:r w:rsidRPr="00FC588C">
              <w:rPr>
                <w:b/>
                <w:bCs/>
                <w:sz w:val="20"/>
                <w:szCs w:val="20"/>
              </w:rPr>
              <w:t>Responsive crisis resolution</w:t>
            </w:r>
          </w:p>
        </w:tc>
        <w:tc>
          <w:tcPr>
            <w:tcW w:w="4919"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7C64A01A" w14:textId="6B59DCBA" w:rsidR="00F35D2D" w:rsidRPr="00FC588C" w:rsidRDefault="00F35D2D" w:rsidP="00E859A1">
            <w:pPr>
              <w:spacing w:after="40"/>
              <w:rPr>
                <w:sz w:val="20"/>
                <w:szCs w:val="20"/>
                <w:lang w:val="en-US"/>
              </w:rPr>
            </w:pPr>
            <w:r w:rsidRPr="00FC588C">
              <w:rPr>
                <w:sz w:val="20"/>
                <w:szCs w:val="20"/>
                <w:lang w:val="en-US"/>
              </w:rPr>
              <w:t xml:space="preserve">Services that respond to the causes and consequences of YP’s disruptive </w:t>
            </w:r>
            <w:proofErr w:type="spellStart"/>
            <w:r w:rsidRPr="00FC588C">
              <w:rPr>
                <w:sz w:val="20"/>
                <w:szCs w:val="20"/>
                <w:lang w:val="en-US"/>
              </w:rPr>
              <w:t>behaviours</w:t>
            </w:r>
            <w:proofErr w:type="spellEnd"/>
            <w:r w:rsidRPr="00FC588C">
              <w:rPr>
                <w:sz w:val="20"/>
                <w:szCs w:val="20"/>
                <w:lang w:val="en-US"/>
              </w:rPr>
              <w:t xml:space="preserve"> through individual therapeutic support for </w:t>
            </w:r>
            <w:proofErr w:type="gramStart"/>
            <w:r w:rsidRPr="00FC588C">
              <w:rPr>
                <w:sz w:val="20"/>
                <w:szCs w:val="20"/>
                <w:lang w:val="en-US"/>
              </w:rPr>
              <w:t>children’s  emotional</w:t>
            </w:r>
            <w:proofErr w:type="gramEnd"/>
            <w:r w:rsidRPr="00FC588C">
              <w:rPr>
                <w:sz w:val="20"/>
                <w:szCs w:val="20"/>
                <w:lang w:val="en-US"/>
              </w:rPr>
              <w:t xml:space="preserve"> wellbeing.</w:t>
            </w:r>
          </w:p>
        </w:tc>
        <w:tc>
          <w:tcPr>
            <w:tcW w:w="2966" w:type="dxa"/>
            <w:tcBorders>
              <w:top w:val="single" w:sz="8" w:space="0" w:color="FFFFFF"/>
              <w:left w:val="single" w:sz="8" w:space="0" w:color="FFFFFF"/>
              <w:bottom w:val="single" w:sz="8" w:space="0" w:color="FFFFFF"/>
              <w:right w:val="single" w:sz="8" w:space="0" w:color="FFFFFF"/>
            </w:tcBorders>
            <w:shd w:val="clear" w:color="auto" w:fill="CFE3E8"/>
          </w:tcPr>
          <w:p w14:paraId="3B5F0114" w14:textId="77777777" w:rsidR="00F35D2D" w:rsidRPr="00F35D2D" w:rsidRDefault="00F35D2D" w:rsidP="00E859A1">
            <w:pPr>
              <w:spacing w:after="40"/>
              <w:rPr>
                <w:sz w:val="20"/>
                <w:szCs w:val="20"/>
                <w:lang w:val="en-US"/>
              </w:rPr>
            </w:pPr>
            <w:r w:rsidRPr="00FC588C">
              <w:rPr>
                <w:sz w:val="20"/>
                <w:szCs w:val="20"/>
              </w:rPr>
              <w:t>Behaviour and Pastoral Leads, Leadership Team, Mental Health Support Teams</w:t>
            </w:r>
          </w:p>
        </w:tc>
        <w:tc>
          <w:tcPr>
            <w:tcW w:w="554" w:type="dxa"/>
            <w:tcBorders>
              <w:top w:val="single" w:sz="8" w:space="0" w:color="FFFFFF"/>
              <w:left w:val="single" w:sz="8" w:space="0" w:color="FFFFFF"/>
              <w:bottom w:val="single" w:sz="8" w:space="0" w:color="FFFFFF"/>
              <w:right w:val="single" w:sz="8" w:space="0" w:color="FFFFFF"/>
            </w:tcBorders>
            <w:shd w:val="clear" w:color="auto" w:fill="CFE3E8"/>
          </w:tcPr>
          <w:p w14:paraId="46B92B04" w14:textId="34FD3B39" w:rsidR="00F35D2D" w:rsidRPr="00F35D2D" w:rsidRDefault="004E1BB0" w:rsidP="00E859A1">
            <w:pPr>
              <w:spacing w:after="40"/>
              <w:jc w:val="center"/>
              <w:rPr>
                <w:sz w:val="20"/>
                <w:szCs w:val="20"/>
              </w:rPr>
            </w:pPr>
            <w:r>
              <w:rPr>
                <w:sz w:val="20"/>
                <w:szCs w:val="20"/>
              </w:rPr>
              <w:t>6</w:t>
            </w:r>
          </w:p>
        </w:tc>
      </w:tr>
      <w:tr w:rsidR="00F35D2D" w:rsidRPr="00FC588C" w14:paraId="07E72A07"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3EA1BF41" w14:textId="77777777" w:rsidR="00F35D2D" w:rsidRPr="00FC588C" w:rsidRDefault="00F35D2D" w:rsidP="00E859A1">
            <w:pPr>
              <w:spacing w:after="40"/>
              <w:rPr>
                <w:sz w:val="20"/>
                <w:szCs w:val="20"/>
                <w:lang w:val="en-US"/>
              </w:rPr>
            </w:pPr>
            <w:r w:rsidRPr="00FC588C">
              <w:rPr>
                <w:b/>
                <w:bCs/>
                <w:sz w:val="20"/>
                <w:szCs w:val="20"/>
              </w:rPr>
              <w:t>Inclusive and participatory pedagogy</w:t>
            </w:r>
          </w:p>
        </w:tc>
        <w:tc>
          <w:tcPr>
            <w:tcW w:w="4919"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5E33041E" w14:textId="08C54740" w:rsidR="00F35D2D" w:rsidRPr="00FC588C" w:rsidRDefault="00F35D2D" w:rsidP="00E859A1">
            <w:pPr>
              <w:spacing w:after="40"/>
              <w:rPr>
                <w:sz w:val="20"/>
                <w:szCs w:val="20"/>
                <w:lang w:val="en-US"/>
              </w:rPr>
            </w:pPr>
            <w:r w:rsidRPr="00FC588C">
              <w:rPr>
                <w:sz w:val="20"/>
                <w:szCs w:val="20"/>
                <w:lang w:val="en-US"/>
              </w:rPr>
              <w:t xml:space="preserve">Training in </w:t>
            </w:r>
            <w:r w:rsidR="007939C1">
              <w:rPr>
                <w:sz w:val="20"/>
                <w:szCs w:val="20"/>
                <w:lang w:val="en-US"/>
              </w:rPr>
              <w:t xml:space="preserve">teaching and </w:t>
            </w:r>
            <w:proofErr w:type="gramStart"/>
            <w:r w:rsidRPr="00FC588C">
              <w:rPr>
                <w:sz w:val="20"/>
                <w:szCs w:val="20"/>
                <w:lang w:val="en-US"/>
              </w:rPr>
              <w:t>assessment  practices</w:t>
            </w:r>
            <w:proofErr w:type="gramEnd"/>
            <w:r w:rsidRPr="00FC588C">
              <w:rPr>
                <w:sz w:val="20"/>
                <w:szCs w:val="20"/>
                <w:lang w:val="en-US"/>
              </w:rPr>
              <w:t xml:space="preserve"> to promote active learning and educational success for diverse learners.</w:t>
            </w:r>
          </w:p>
        </w:tc>
        <w:tc>
          <w:tcPr>
            <w:tcW w:w="2966" w:type="dxa"/>
            <w:tcBorders>
              <w:top w:val="single" w:sz="8" w:space="0" w:color="FFFFFF"/>
              <w:left w:val="single" w:sz="8" w:space="0" w:color="FFFFFF"/>
              <w:bottom w:val="single" w:sz="8" w:space="0" w:color="FFFFFF"/>
              <w:right w:val="single" w:sz="8" w:space="0" w:color="FFFFFF"/>
            </w:tcBorders>
            <w:shd w:val="clear" w:color="auto" w:fill="E8F2F4"/>
          </w:tcPr>
          <w:p w14:paraId="6631D521" w14:textId="77777777" w:rsidR="00F35D2D" w:rsidRPr="00F35D2D" w:rsidRDefault="00F35D2D" w:rsidP="00E859A1">
            <w:pPr>
              <w:spacing w:after="40"/>
              <w:rPr>
                <w:sz w:val="20"/>
                <w:szCs w:val="20"/>
                <w:lang w:val="en-US"/>
              </w:rPr>
            </w:pPr>
            <w:r w:rsidRPr="00FC588C">
              <w:rPr>
                <w:sz w:val="20"/>
                <w:szCs w:val="20"/>
              </w:rPr>
              <w:t>Teaching Staff, Subject and Curriculum Leads, Raising Achievement Leads</w:t>
            </w:r>
          </w:p>
        </w:tc>
        <w:tc>
          <w:tcPr>
            <w:tcW w:w="554" w:type="dxa"/>
            <w:tcBorders>
              <w:top w:val="single" w:sz="8" w:space="0" w:color="FFFFFF"/>
              <w:left w:val="single" w:sz="8" w:space="0" w:color="FFFFFF"/>
              <w:bottom w:val="single" w:sz="8" w:space="0" w:color="FFFFFF"/>
              <w:right w:val="single" w:sz="8" w:space="0" w:color="FFFFFF"/>
            </w:tcBorders>
            <w:shd w:val="clear" w:color="auto" w:fill="E8F2F4"/>
          </w:tcPr>
          <w:p w14:paraId="20CA31DA" w14:textId="31DCA225" w:rsidR="00F35D2D" w:rsidRPr="00F35D2D" w:rsidRDefault="004E1BB0" w:rsidP="00E859A1">
            <w:pPr>
              <w:spacing w:after="40"/>
              <w:jc w:val="center"/>
              <w:rPr>
                <w:sz w:val="20"/>
                <w:szCs w:val="20"/>
              </w:rPr>
            </w:pPr>
            <w:r>
              <w:rPr>
                <w:sz w:val="20"/>
                <w:szCs w:val="20"/>
              </w:rPr>
              <w:t>6</w:t>
            </w:r>
          </w:p>
        </w:tc>
      </w:tr>
      <w:tr w:rsidR="00F35D2D" w:rsidRPr="00FC588C" w14:paraId="148FF34D"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4A43FA00" w14:textId="77777777" w:rsidR="00F35D2D" w:rsidRPr="00FC588C" w:rsidRDefault="00F35D2D" w:rsidP="00E859A1">
            <w:pPr>
              <w:spacing w:after="40"/>
              <w:rPr>
                <w:sz w:val="20"/>
                <w:szCs w:val="20"/>
                <w:lang w:val="en-US"/>
              </w:rPr>
            </w:pPr>
            <w:r w:rsidRPr="00FC588C">
              <w:rPr>
                <w:b/>
                <w:bCs/>
                <w:sz w:val="20"/>
                <w:szCs w:val="20"/>
              </w:rPr>
              <w:t xml:space="preserve">Support with transitions </w:t>
            </w:r>
          </w:p>
        </w:tc>
        <w:tc>
          <w:tcPr>
            <w:tcW w:w="4919"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2CDAB954" w14:textId="77777777" w:rsidR="00F35D2D" w:rsidRPr="00FC588C" w:rsidRDefault="00F35D2D" w:rsidP="00E859A1">
            <w:pPr>
              <w:spacing w:after="40"/>
              <w:rPr>
                <w:sz w:val="20"/>
                <w:szCs w:val="20"/>
                <w:lang w:val="en-US"/>
              </w:rPr>
            </w:pPr>
            <w:r w:rsidRPr="00FC588C">
              <w:rPr>
                <w:sz w:val="20"/>
                <w:szCs w:val="20"/>
                <w:lang w:val="en-US"/>
              </w:rPr>
              <w:t xml:space="preserve">Giving </w:t>
            </w:r>
            <w:proofErr w:type="spellStart"/>
            <w:r w:rsidRPr="00FC588C">
              <w:rPr>
                <w:sz w:val="20"/>
                <w:szCs w:val="20"/>
                <w:lang w:val="en-US"/>
              </w:rPr>
              <w:t>personalised</w:t>
            </w:r>
            <w:proofErr w:type="spellEnd"/>
            <w:r w:rsidRPr="00FC588C">
              <w:rPr>
                <w:sz w:val="20"/>
                <w:szCs w:val="20"/>
                <w:lang w:val="en-US"/>
              </w:rPr>
              <w:t xml:space="preserve"> support to manage the risks and difficulties of moving between placements</w:t>
            </w:r>
          </w:p>
        </w:tc>
        <w:tc>
          <w:tcPr>
            <w:tcW w:w="2966" w:type="dxa"/>
            <w:tcBorders>
              <w:top w:val="single" w:sz="8" w:space="0" w:color="FFFFFF"/>
              <w:left w:val="single" w:sz="8" w:space="0" w:color="FFFFFF"/>
              <w:bottom w:val="single" w:sz="8" w:space="0" w:color="FFFFFF"/>
              <w:right w:val="single" w:sz="8" w:space="0" w:color="FFFFFF"/>
            </w:tcBorders>
            <w:shd w:val="clear" w:color="auto" w:fill="CFE3E8"/>
          </w:tcPr>
          <w:p w14:paraId="5E04917F" w14:textId="77777777" w:rsidR="00F35D2D" w:rsidRPr="00F35D2D" w:rsidRDefault="00F35D2D" w:rsidP="00E859A1">
            <w:pPr>
              <w:spacing w:after="40"/>
              <w:rPr>
                <w:sz w:val="20"/>
                <w:szCs w:val="20"/>
                <w:lang w:val="en-US"/>
              </w:rPr>
            </w:pPr>
            <w:r w:rsidRPr="00FC588C">
              <w:rPr>
                <w:sz w:val="20"/>
                <w:szCs w:val="20"/>
              </w:rPr>
              <w:t>Transition Co-ordinators, careers staff, contracted mentors/ SENCO and TAs</w:t>
            </w:r>
          </w:p>
        </w:tc>
        <w:tc>
          <w:tcPr>
            <w:tcW w:w="554" w:type="dxa"/>
            <w:tcBorders>
              <w:top w:val="single" w:sz="8" w:space="0" w:color="FFFFFF"/>
              <w:left w:val="single" w:sz="8" w:space="0" w:color="FFFFFF"/>
              <w:bottom w:val="single" w:sz="8" w:space="0" w:color="FFFFFF"/>
              <w:right w:val="single" w:sz="8" w:space="0" w:color="FFFFFF"/>
            </w:tcBorders>
            <w:shd w:val="clear" w:color="auto" w:fill="CFE3E8"/>
          </w:tcPr>
          <w:p w14:paraId="704EA800" w14:textId="1457364C" w:rsidR="00F35D2D" w:rsidRPr="00F35D2D" w:rsidRDefault="004E1BB0" w:rsidP="00E859A1">
            <w:pPr>
              <w:spacing w:after="40"/>
              <w:jc w:val="center"/>
              <w:rPr>
                <w:sz w:val="20"/>
                <w:szCs w:val="20"/>
              </w:rPr>
            </w:pPr>
            <w:r>
              <w:rPr>
                <w:sz w:val="20"/>
                <w:szCs w:val="20"/>
              </w:rPr>
              <w:t>7</w:t>
            </w:r>
          </w:p>
        </w:tc>
      </w:tr>
      <w:tr w:rsidR="00F35D2D" w:rsidRPr="00FC588C" w14:paraId="692BA607"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717588A4" w14:textId="77777777" w:rsidR="00F35D2D" w:rsidRPr="00FC588C" w:rsidRDefault="00F35D2D" w:rsidP="00E859A1">
            <w:pPr>
              <w:spacing w:after="40"/>
              <w:rPr>
                <w:sz w:val="20"/>
                <w:szCs w:val="20"/>
                <w:lang w:val="en-US"/>
              </w:rPr>
            </w:pPr>
            <w:r w:rsidRPr="00FC588C">
              <w:rPr>
                <w:b/>
                <w:bCs/>
                <w:sz w:val="20"/>
                <w:szCs w:val="20"/>
              </w:rPr>
              <w:t>Promoting inclusive learning environments</w:t>
            </w:r>
          </w:p>
        </w:tc>
        <w:tc>
          <w:tcPr>
            <w:tcW w:w="4919"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4507FA35" w14:textId="77777777" w:rsidR="00F35D2D" w:rsidRPr="00FC588C" w:rsidRDefault="00F35D2D" w:rsidP="00E859A1">
            <w:pPr>
              <w:spacing w:after="40"/>
              <w:rPr>
                <w:sz w:val="20"/>
                <w:szCs w:val="20"/>
                <w:lang w:val="en-US"/>
              </w:rPr>
            </w:pPr>
            <w:r w:rsidRPr="00FC588C">
              <w:rPr>
                <w:sz w:val="20"/>
                <w:szCs w:val="20"/>
                <w:lang w:val="en-US"/>
              </w:rPr>
              <w:t>Promoting an inclusive learning environment</w:t>
            </w:r>
          </w:p>
        </w:tc>
        <w:tc>
          <w:tcPr>
            <w:tcW w:w="2966" w:type="dxa"/>
            <w:tcBorders>
              <w:top w:val="single" w:sz="8" w:space="0" w:color="FFFFFF"/>
              <w:left w:val="single" w:sz="8" w:space="0" w:color="FFFFFF"/>
              <w:bottom w:val="single" w:sz="8" w:space="0" w:color="FFFFFF"/>
              <w:right w:val="single" w:sz="8" w:space="0" w:color="FFFFFF"/>
            </w:tcBorders>
            <w:shd w:val="clear" w:color="auto" w:fill="E8F2F4"/>
          </w:tcPr>
          <w:p w14:paraId="5E169C31" w14:textId="77777777" w:rsidR="00F35D2D" w:rsidRPr="00F35D2D" w:rsidRDefault="00F35D2D" w:rsidP="00E859A1">
            <w:pPr>
              <w:spacing w:after="40"/>
              <w:rPr>
                <w:sz w:val="20"/>
                <w:szCs w:val="20"/>
                <w:lang w:val="en-US"/>
              </w:rPr>
            </w:pPr>
            <w:proofErr w:type="spellStart"/>
            <w:r w:rsidRPr="00FC588C">
              <w:rPr>
                <w:sz w:val="20"/>
                <w:szCs w:val="20"/>
              </w:rPr>
              <w:t>SENDco</w:t>
            </w:r>
            <w:proofErr w:type="spellEnd"/>
            <w:r w:rsidRPr="00FC588C">
              <w:rPr>
                <w:sz w:val="20"/>
                <w:szCs w:val="20"/>
              </w:rPr>
              <w:t>, Teaching Staff, Subject and Curriculum Leads, Raising Achievement Leads</w:t>
            </w:r>
          </w:p>
        </w:tc>
        <w:tc>
          <w:tcPr>
            <w:tcW w:w="554" w:type="dxa"/>
            <w:tcBorders>
              <w:top w:val="single" w:sz="8" w:space="0" w:color="FFFFFF"/>
              <w:left w:val="single" w:sz="8" w:space="0" w:color="FFFFFF"/>
              <w:bottom w:val="single" w:sz="8" w:space="0" w:color="FFFFFF"/>
              <w:right w:val="single" w:sz="8" w:space="0" w:color="FFFFFF"/>
            </w:tcBorders>
            <w:shd w:val="clear" w:color="auto" w:fill="E8F2F4"/>
          </w:tcPr>
          <w:p w14:paraId="2472F4F2" w14:textId="2AFC6564" w:rsidR="00F35D2D" w:rsidRPr="00F35D2D" w:rsidRDefault="004E1BB0" w:rsidP="00E859A1">
            <w:pPr>
              <w:spacing w:after="40"/>
              <w:jc w:val="center"/>
              <w:rPr>
                <w:sz w:val="20"/>
                <w:szCs w:val="20"/>
              </w:rPr>
            </w:pPr>
            <w:r>
              <w:rPr>
                <w:sz w:val="20"/>
                <w:szCs w:val="20"/>
              </w:rPr>
              <w:t>7</w:t>
            </w:r>
          </w:p>
        </w:tc>
      </w:tr>
      <w:tr w:rsidR="00F35D2D" w:rsidRPr="00FC588C" w14:paraId="6B895D4C" w14:textId="77777777" w:rsidTr="002569B0">
        <w:trPr>
          <w:trHeight w:val="20"/>
        </w:trPr>
        <w:tc>
          <w:tcPr>
            <w:tcW w:w="1910"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4A8D4AA3" w14:textId="77777777" w:rsidR="00F35D2D" w:rsidRPr="00FC588C" w:rsidRDefault="00F35D2D" w:rsidP="00E859A1">
            <w:pPr>
              <w:spacing w:after="40"/>
              <w:rPr>
                <w:sz w:val="20"/>
                <w:szCs w:val="20"/>
                <w:lang w:val="en-US"/>
              </w:rPr>
            </w:pPr>
            <w:r w:rsidRPr="00FC588C">
              <w:rPr>
                <w:b/>
                <w:bCs/>
                <w:sz w:val="20"/>
                <w:szCs w:val="20"/>
              </w:rPr>
              <w:t>Support in building/navigating healthy peer relationships</w:t>
            </w:r>
          </w:p>
        </w:tc>
        <w:tc>
          <w:tcPr>
            <w:tcW w:w="4919"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29751EDE" w14:textId="77777777" w:rsidR="00F35D2D" w:rsidRPr="00FC588C" w:rsidRDefault="00F35D2D" w:rsidP="00E859A1">
            <w:pPr>
              <w:spacing w:after="40"/>
              <w:rPr>
                <w:sz w:val="20"/>
                <w:szCs w:val="20"/>
                <w:lang w:val="en-US"/>
              </w:rPr>
            </w:pPr>
            <w:r w:rsidRPr="00FC588C">
              <w:rPr>
                <w:sz w:val="20"/>
                <w:szCs w:val="20"/>
                <w:lang w:val="en-US"/>
              </w:rPr>
              <w:t xml:space="preserve">To support young people in building and maintaining positive and healthy </w:t>
            </w:r>
            <w:proofErr w:type="gramStart"/>
            <w:r w:rsidRPr="00FC588C">
              <w:rPr>
                <w:sz w:val="20"/>
                <w:szCs w:val="20"/>
                <w:lang w:val="en-US"/>
              </w:rPr>
              <w:t>peer  relationships</w:t>
            </w:r>
            <w:proofErr w:type="gramEnd"/>
            <w:r w:rsidRPr="00FC588C">
              <w:rPr>
                <w:sz w:val="20"/>
                <w:szCs w:val="20"/>
                <w:lang w:val="en-US"/>
              </w:rPr>
              <w:t xml:space="preserve">, including friendships, learning and co-working relationships and  romantic relationships. </w:t>
            </w:r>
          </w:p>
        </w:tc>
        <w:tc>
          <w:tcPr>
            <w:tcW w:w="2966" w:type="dxa"/>
            <w:tcBorders>
              <w:top w:val="single" w:sz="8" w:space="0" w:color="FFFFFF"/>
              <w:left w:val="single" w:sz="8" w:space="0" w:color="FFFFFF"/>
              <w:bottom w:val="single" w:sz="8" w:space="0" w:color="FFFFFF"/>
              <w:right w:val="single" w:sz="8" w:space="0" w:color="FFFFFF"/>
            </w:tcBorders>
            <w:shd w:val="clear" w:color="auto" w:fill="CFE3E8"/>
          </w:tcPr>
          <w:p w14:paraId="0D2DE159" w14:textId="77777777" w:rsidR="00F35D2D" w:rsidRPr="00F35D2D" w:rsidRDefault="00F35D2D" w:rsidP="00E859A1">
            <w:pPr>
              <w:spacing w:after="40"/>
              <w:rPr>
                <w:sz w:val="20"/>
                <w:szCs w:val="20"/>
                <w:lang w:val="en-US"/>
              </w:rPr>
            </w:pPr>
            <w:r w:rsidRPr="00FC588C">
              <w:rPr>
                <w:sz w:val="20"/>
                <w:szCs w:val="20"/>
              </w:rPr>
              <w:t>Mental Health Support Teams, Wellbeing Leads, PSHE staff, school counsellor</w:t>
            </w:r>
          </w:p>
        </w:tc>
        <w:tc>
          <w:tcPr>
            <w:tcW w:w="554" w:type="dxa"/>
            <w:tcBorders>
              <w:top w:val="single" w:sz="8" w:space="0" w:color="FFFFFF"/>
              <w:left w:val="single" w:sz="8" w:space="0" w:color="FFFFFF"/>
              <w:bottom w:val="single" w:sz="8" w:space="0" w:color="FFFFFF"/>
              <w:right w:val="single" w:sz="8" w:space="0" w:color="FFFFFF"/>
            </w:tcBorders>
            <w:shd w:val="clear" w:color="auto" w:fill="CFE3E8"/>
          </w:tcPr>
          <w:p w14:paraId="342ADDBD" w14:textId="2FCA76FC" w:rsidR="00F35D2D" w:rsidRPr="00F35D2D" w:rsidRDefault="00F35D2D" w:rsidP="00E859A1">
            <w:pPr>
              <w:spacing w:after="40"/>
              <w:jc w:val="center"/>
              <w:rPr>
                <w:sz w:val="20"/>
                <w:szCs w:val="20"/>
                <w:lang w:val="en-US"/>
              </w:rPr>
            </w:pPr>
            <w:r w:rsidRPr="00F35D2D">
              <w:rPr>
                <w:sz w:val="20"/>
                <w:szCs w:val="20"/>
                <w:lang w:val="en-US"/>
              </w:rPr>
              <w:t>8</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8675D5" w14:paraId="151ECAC5" w14:textId="77777777" w:rsidTr="00FB3F68">
        <w:tc>
          <w:tcPr>
            <w:tcW w:w="8996" w:type="dxa"/>
            <w:gridSpan w:val="2"/>
            <w:shd w:val="clear" w:color="auto" w:fill="FFC000" w:themeFill="accent4"/>
            <w:vAlign w:val="center"/>
          </w:tcPr>
          <w:p w14:paraId="19E584A7" w14:textId="09583ACD" w:rsidR="008675D5" w:rsidRPr="00FB3F68" w:rsidRDefault="00D51B7D" w:rsidP="00D51B7D">
            <w:pPr>
              <w:pStyle w:val="Heading1"/>
              <w:outlineLvl w:val="0"/>
              <w:rPr>
                <w:b w:val="0"/>
              </w:rPr>
            </w:pPr>
            <w:r>
              <w:lastRenderedPageBreak/>
              <w:br w:type="page"/>
            </w:r>
            <w:bookmarkStart w:id="0" w:name="_Toc44942572"/>
            <w:r w:rsidR="0055073D">
              <w:t>Action</w:t>
            </w:r>
            <w:r w:rsidR="00FB3F68" w:rsidRPr="00FB3F68">
              <w:t xml:space="preserve"> 1: Personalised plans</w:t>
            </w:r>
            <w:bookmarkEnd w:id="0"/>
          </w:p>
        </w:tc>
      </w:tr>
      <w:tr w:rsidR="008675D5" w14:paraId="7EDE927D" w14:textId="77777777" w:rsidTr="008675D5">
        <w:tc>
          <w:tcPr>
            <w:tcW w:w="1836" w:type="dxa"/>
            <w:shd w:val="clear" w:color="auto" w:fill="FFD966" w:themeFill="accent4" w:themeFillTint="99"/>
            <w:vAlign w:val="center"/>
          </w:tcPr>
          <w:p w14:paraId="46AE29DE" w14:textId="274CF646" w:rsidR="008675D5" w:rsidRPr="008675D5" w:rsidRDefault="008675D5" w:rsidP="008675D5">
            <w:pPr>
              <w:jc w:val="center"/>
              <w:rPr>
                <w:b/>
                <w:bCs/>
                <w:color w:val="0070C0"/>
              </w:rPr>
            </w:pPr>
            <w:r w:rsidRPr="008675D5">
              <w:rPr>
                <w:b/>
                <w:bCs/>
                <w:color w:val="0070C0"/>
              </w:rPr>
              <w:t>Aim</w:t>
            </w:r>
          </w:p>
        </w:tc>
        <w:tc>
          <w:tcPr>
            <w:tcW w:w="7160" w:type="dxa"/>
            <w:shd w:val="clear" w:color="auto" w:fill="FFFFFF" w:themeFill="background1"/>
          </w:tcPr>
          <w:p w14:paraId="22890DAE" w14:textId="3BF6B8EB" w:rsidR="008675D5" w:rsidRDefault="008675D5" w:rsidP="00BF71D5">
            <w:pPr>
              <w:jc w:val="both"/>
            </w:pPr>
            <w:r>
              <w:t xml:space="preserve">To encourage young people to steer their own educational pathway by helping them develop a personalised support plan.  </w:t>
            </w:r>
          </w:p>
        </w:tc>
      </w:tr>
      <w:tr w:rsidR="008675D5" w14:paraId="5E2CBCCD" w14:textId="77777777" w:rsidTr="008675D5">
        <w:tc>
          <w:tcPr>
            <w:tcW w:w="1836" w:type="dxa"/>
            <w:shd w:val="clear" w:color="auto" w:fill="FFD966" w:themeFill="accent4" w:themeFillTint="99"/>
            <w:vAlign w:val="center"/>
          </w:tcPr>
          <w:p w14:paraId="3BA6D426" w14:textId="1B9BFFD9" w:rsidR="008675D5" w:rsidRPr="008675D5" w:rsidRDefault="008675D5" w:rsidP="008675D5">
            <w:pPr>
              <w:jc w:val="center"/>
              <w:rPr>
                <w:b/>
                <w:bCs/>
                <w:color w:val="0070C0"/>
              </w:rPr>
            </w:pPr>
            <w:r w:rsidRPr="008675D5">
              <w:rPr>
                <w:b/>
                <w:bCs/>
                <w:color w:val="0070C0"/>
              </w:rPr>
              <w:t>Description</w:t>
            </w:r>
          </w:p>
        </w:tc>
        <w:tc>
          <w:tcPr>
            <w:tcW w:w="7160" w:type="dxa"/>
            <w:shd w:val="clear" w:color="auto" w:fill="FFFFFF" w:themeFill="background1"/>
          </w:tcPr>
          <w:p w14:paraId="0A2590B2" w14:textId="0F3A5626" w:rsidR="008675D5" w:rsidRDefault="008675D5" w:rsidP="00BF71D5">
            <w:pPr>
              <w:jc w:val="both"/>
            </w:pPr>
            <w:r>
              <w:t>Personalised plans are designed jointly by tutors and young people</w:t>
            </w:r>
            <w:r w:rsidR="00F815AF">
              <w:t>. They</w:t>
            </w:r>
            <w:r>
              <w:t xml:space="preserve"> identify </w:t>
            </w:r>
            <w:r w:rsidR="00F815AF">
              <w:t>the young person’s</w:t>
            </w:r>
            <w:r>
              <w:t xml:space="preserve"> educational, training, or work needs and </w:t>
            </w:r>
            <w:r w:rsidR="00F815AF">
              <w:t>the</w:t>
            </w:r>
            <w:r>
              <w:t xml:space="preserve"> barriers </w:t>
            </w:r>
            <w:r w:rsidR="00F815AF">
              <w:t xml:space="preserve">that </w:t>
            </w:r>
            <w:r>
              <w:t xml:space="preserve">must be overcome to meet such needs. </w:t>
            </w:r>
            <w:r w:rsidR="00F815AF">
              <w:t>They also equip</w:t>
            </w:r>
            <w:r>
              <w:t xml:space="preserve"> young people with tools to improve their sense of well-being </w:t>
            </w:r>
            <w:r w:rsidR="00F815AF">
              <w:t>and</w:t>
            </w:r>
            <w:r>
              <w:t xml:space="preserve"> develop positive attitudes to learning, education and training. </w:t>
            </w:r>
            <w:r w:rsidR="00F815AF">
              <w:t>T</w:t>
            </w:r>
            <w:r w:rsidR="00CD02D5">
              <w:t>o be successful, t</w:t>
            </w:r>
            <w:r>
              <w:t xml:space="preserve">hese plans </w:t>
            </w:r>
            <w:r w:rsidR="00CD02D5">
              <w:t>need</w:t>
            </w:r>
            <w:r>
              <w:t xml:space="preserve"> young peoples’ active engagement and ownershi</w:t>
            </w:r>
            <w:r w:rsidR="00CD02D5">
              <w:t xml:space="preserve">p, </w:t>
            </w:r>
            <w:r w:rsidR="00F815AF">
              <w:t xml:space="preserve">encouraging them </w:t>
            </w:r>
            <w:r>
              <w:t>to feel more in control of their lives and provid</w:t>
            </w:r>
            <w:r w:rsidR="00F815AF">
              <w:t>ing</w:t>
            </w:r>
            <w:r>
              <w:t xml:space="preserve"> them with the skills to plan and manage their future careers.  </w:t>
            </w:r>
          </w:p>
        </w:tc>
      </w:tr>
      <w:tr w:rsidR="008675D5" w14:paraId="21B5BEB9" w14:textId="77777777" w:rsidTr="008675D5">
        <w:tc>
          <w:tcPr>
            <w:tcW w:w="1836" w:type="dxa"/>
            <w:shd w:val="clear" w:color="auto" w:fill="FFD966" w:themeFill="accent4" w:themeFillTint="99"/>
            <w:vAlign w:val="center"/>
          </w:tcPr>
          <w:p w14:paraId="7553F0E4" w14:textId="439D3AC2" w:rsidR="008675D5" w:rsidRPr="008675D5" w:rsidRDefault="008675D5" w:rsidP="008675D5">
            <w:pPr>
              <w:jc w:val="center"/>
              <w:rPr>
                <w:b/>
                <w:bCs/>
                <w:color w:val="0070C0"/>
              </w:rPr>
            </w:pPr>
            <w:r w:rsidRPr="008675D5">
              <w:rPr>
                <w:b/>
                <w:bCs/>
                <w:color w:val="0070C0"/>
              </w:rPr>
              <w:t>Examples</w:t>
            </w:r>
          </w:p>
        </w:tc>
        <w:tc>
          <w:tcPr>
            <w:tcW w:w="7160" w:type="dxa"/>
            <w:shd w:val="clear" w:color="auto" w:fill="FFFFFF" w:themeFill="background1"/>
          </w:tcPr>
          <w:p w14:paraId="5D59DA3D" w14:textId="77777777" w:rsidR="008675D5" w:rsidRDefault="008675D5" w:rsidP="00BF71D5">
            <w:pPr>
              <w:pStyle w:val="ListParagraph"/>
              <w:numPr>
                <w:ilvl w:val="0"/>
                <w:numId w:val="1"/>
              </w:numPr>
              <w:jc w:val="both"/>
            </w:pPr>
            <w:r w:rsidRPr="00D435B5">
              <w:rPr>
                <w:b/>
                <w:bCs/>
                <w:color w:val="4472C4" w:themeColor="accent1"/>
              </w:rPr>
              <w:t>Road map</w:t>
            </w:r>
            <w:r>
              <w:t xml:space="preserve">: map out where the student currently is, where they want to get to, and what ‘route’ needs to be taken to overcome (or bypass) the ‘barriers’ in a young person’s life. </w:t>
            </w:r>
          </w:p>
          <w:p w14:paraId="5B16426E" w14:textId="77777777" w:rsidR="008675D5" w:rsidRDefault="008675D5" w:rsidP="00BF71D5">
            <w:pPr>
              <w:pStyle w:val="ListParagraph"/>
              <w:numPr>
                <w:ilvl w:val="0"/>
                <w:numId w:val="1"/>
              </w:numPr>
              <w:jc w:val="both"/>
            </w:pPr>
            <w:r w:rsidRPr="00D435B5">
              <w:rPr>
                <w:b/>
                <w:bCs/>
                <w:color w:val="4472C4" w:themeColor="accent1"/>
              </w:rPr>
              <w:t>Contracts</w:t>
            </w:r>
            <w:r>
              <w:t xml:space="preserve">: encouraging young people to sign the ‘contract’ of their personalised support plan can formalise the commitment and motivate them to be more invested. </w:t>
            </w:r>
          </w:p>
          <w:p w14:paraId="304D54AA" w14:textId="7BA5B549" w:rsidR="008675D5" w:rsidRDefault="008675D5" w:rsidP="00BF71D5">
            <w:pPr>
              <w:pStyle w:val="ListParagraph"/>
              <w:numPr>
                <w:ilvl w:val="0"/>
                <w:numId w:val="1"/>
              </w:numPr>
              <w:jc w:val="both"/>
            </w:pPr>
            <w:r w:rsidRPr="00D435B5">
              <w:rPr>
                <w:b/>
                <w:bCs/>
                <w:color w:val="4472C4" w:themeColor="accent1"/>
              </w:rPr>
              <w:t>Regular reviews</w:t>
            </w:r>
            <w:r>
              <w:t xml:space="preserve">: review the plan frequently and </w:t>
            </w:r>
            <w:r w:rsidR="00F9395B">
              <w:t>a</w:t>
            </w:r>
            <w:r>
              <w:t xml:space="preserve">mend as required in line with the young person’s development and feedback.  </w:t>
            </w:r>
          </w:p>
        </w:tc>
      </w:tr>
    </w:tbl>
    <w:p w14:paraId="77D77C6A" w14:textId="32E5CA1F" w:rsidR="008675D5" w:rsidRDefault="008675D5"/>
    <w:p w14:paraId="3487E573" w14:textId="77777777" w:rsidR="00726E85" w:rsidRDefault="00726E85"/>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E16D29" w14:paraId="7B344DB9" w14:textId="77777777" w:rsidTr="005D116E">
        <w:tc>
          <w:tcPr>
            <w:tcW w:w="8996" w:type="dxa"/>
            <w:gridSpan w:val="2"/>
            <w:shd w:val="clear" w:color="auto" w:fill="FFC000" w:themeFill="accent4"/>
            <w:vAlign w:val="center"/>
          </w:tcPr>
          <w:p w14:paraId="432846E3" w14:textId="7057FFE4" w:rsidR="00E16D29" w:rsidRPr="00FB3F68" w:rsidRDefault="0055073D" w:rsidP="00D51B7D">
            <w:pPr>
              <w:pStyle w:val="Heading1"/>
              <w:outlineLvl w:val="0"/>
            </w:pPr>
            <w:bookmarkStart w:id="1" w:name="_Toc44942573"/>
            <w:r>
              <w:t>Action</w:t>
            </w:r>
            <w:r w:rsidR="00E16D29" w:rsidRPr="00E16D29">
              <w:t xml:space="preserve"> 2: Blended media mentoring</w:t>
            </w:r>
            <w:bookmarkEnd w:id="1"/>
          </w:p>
        </w:tc>
      </w:tr>
      <w:tr w:rsidR="00E16D29" w14:paraId="64C67CD8" w14:textId="77777777" w:rsidTr="005D116E">
        <w:tc>
          <w:tcPr>
            <w:tcW w:w="1836" w:type="dxa"/>
            <w:shd w:val="clear" w:color="auto" w:fill="FFD966" w:themeFill="accent4" w:themeFillTint="99"/>
            <w:vAlign w:val="center"/>
          </w:tcPr>
          <w:p w14:paraId="2096BB8E" w14:textId="77777777" w:rsidR="00E16D29" w:rsidRPr="008675D5" w:rsidRDefault="00E16D29" w:rsidP="005D116E">
            <w:pPr>
              <w:jc w:val="center"/>
              <w:rPr>
                <w:b/>
                <w:bCs/>
                <w:color w:val="0070C0"/>
              </w:rPr>
            </w:pPr>
            <w:r w:rsidRPr="008675D5">
              <w:rPr>
                <w:b/>
                <w:bCs/>
                <w:color w:val="0070C0"/>
              </w:rPr>
              <w:t>Aim</w:t>
            </w:r>
          </w:p>
        </w:tc>
        <w:tc>
          <w:tcPr>
            <w:tcW w:w="7160" w:type="dxa"/>
            <w:shd w:val="clear" w:color="auto" w:fill="FFFFFF" w:themeFill="background1"/>
          </w:tcPr>
          <w:p w14:paraId="51A5E81D" w14:textId="11028836" w:rsidR="00E16D29" w:rsidRDefault="00E16D29" w:rsidP="00BF71D5">
            <w:pPr>
              <w:jc w:val="both"/>
            </w:pPr>
            <w:r w:rsidRPr="009E580C">
              <w:rPr>
                <w:bCs/>
              </w:rPr>
              <w:t>To provide</w:t>
            </w:r>
            <w:r w:rsidR="00017D9F">
              <w:rPr>
                <w:bCs/>
              </w:rPr>
              <w:t xml:space="preserve"> students</w:t>
            </w:r>
            <w:r w:rsidR="00C3386B">
              <w:rPr>
                <w:bCs/>
              </w:rPr>
              <w:t xml:space="preserve"> with </w:t>
            </w:r>
            <w:r w:rsidRPr="009E580C">
              <w:rPr>
                <w:b/>
              </w:rPr>
              <w:t>one-to-one mentor support</w:t>
            </w:r>
            <w:r w:rsidR="00793544">
              <w:rPr>
                <w:b/>
              </w:rPr>
              <w:t xml:space="preserve"> </w:t>
            </w:r>
            <w:r w:rsidR="00793544">
              <w:rPr>
                <w:bCs/>
              </w:rPr>
              <w:t>using</w:t>
            </w:r>
            <w:r w:rsidRPr="009E580C">
              <w:rPr>
                <w:bCs/>
              </w:rPr>
              <w:t xml:space="preserve"> a range of </w:t>
            </w:r>
            <w:r w:rsidR="00630912">
              <w:rPr>
                <w:bCs/>
              </w:rPr>
              <w:t>methods</w:t>
            </w:r>
            <w:r w:rsidR="008D03FE">
              <w:rPr>
                <w:bCs/>
              </w:rPr>
              <w:t xml:space="preserve"> </w:t>
            </w:r>
            <w:r w:rsidRPr="009E580C">
              <w:rPr>
                <w:bCs/>
              </w:rPr>
              <w:t>including face-to-face, email and social media.</w:t>
            </w:r>
          </w:p>
        </w:tc>
      </w:tr>
      <w:tr w:rsidR="00E16D29" w14:paraId="279EF62B" w14:textId="77777777" w:rsidTr="005D116E">
        <w:tc>
          <w:tcPr>
            <w:tcW w:w="1836" w:type="dxa"/>
            <w:shd w:val="clear" w:color="auto" w:fill="FFD966" w:themeFill="accent4" w:themeFillTint="99"/>
            <w:vAlign w:val="center"/>
          </w:tcPr>
          <w:p w14:paraId="2DB06248" w14:textId="77777777" w:rsidR="00E16D29" w:rsidRPr="008675D5" w:rsidRDefault="00E16D29" w:rsidP="00E16D29">
            <w:pPr>
              <w:jc w:val="center"/>
              <w:rPr>
                <w:b/>
                <w:bCs/>
                <w:color w:val="0070C0"/>
              </w:rPr>
            </w:pPr>
            <w:r w:rsidRPr="008675D5">
              <w:rPr>
                <w:b/>
                <w:bCs/>
                <w:color w:val="0070C0"/>
              </w:rPr>
              <w:t>Description</w:t>
            </w:r>
          </w:p>
        </w:tc>
        <w:tc>
          <w:tcPr>
            <w:tcW w:w="7160" w:type="dxa"/>
            <w:shd w:val="clear" w:color="auto" w:fill="FFFFFF" w:themeFill="background1"/>
          </w:tcPr>
          <w:p w14:paraId="62B728A4" w14:textId="58FEA547" w:rsidR="00E16D29" w:rsidRPr="00110356" w:rsidRDefault="00E16D29" w:rsidP="00BF71D5">
            <w:pPr>
              <w:jc w:val="both"/>
              <w:rPr>
                <w:bCs/>
              </w:rPr>
            </w:pPr>
            <w:r w:rsidRPr="009E580C">
              <w:rPr>
                <w:bCs/>
              </w:rPr>
              <w:t xml:space="preserve">Quality mentoring implies a relationship built on trust, continuity and commitment of the mentor. Strategies </w:t>
            </w:r>
            <w:proofErr w:type="gramStart"/>
            <w:r w:rsidRPr="009E580C">
              <w:rPr>
                <w:bCs/>
              </w:rPr>
              <w:t>include;</w:t>
            </w:r>
            <w:proofErr w:type="gramEnd"/>
            <w:r w:rsidRPr="009E580C">
              <w:rPr>
                <w:bCs/>
              </w:rPr>
              <w:t xml:space="preserve"> eliciting young people’s interests and talents, therapeutic listening, advocating, boundary-setting, and apologising when wrong. Negotiation</w:t>
            </w:r>
            <w:r w:rsidR="00200474">
              <w:rPr>
                <w:bCs/>
              </w:rPr>
              <w:t xml:space="preserve"> between the young person and mentor</w:t>
            </w:r>
            <w:r w:rsidRPr="009E580C">
              <w:rPr>
                <w:bCs/>
              </w:rPr>
              <w:t xml:space="preserve"> is essential </w:t>
            </w:r>
            <w:r w:rsidR="00200474">
              <w:rPr>
                <w:bCs/>
              </w:rPr>
              <w:t xml:space="preserve">when agreeing on mentoring goals and </w:t>
            </w:r>
            <w:r w:rsidR="00110356">
              <w:rPr>
                <w:bCs/>
              </w:rPr>
              <w:t xml:space="preserve">tailoring </w:t>
            </w:r>
            <w:r w:rsidR="00200474">
              <w:rPr>
                <w:bCs/>
              </w:rPr>
              <w:t>activities</w:t>
            </w:r>
            <w:r w:rsidR="00110356">
              <w:rPr>
                <w:bCs/>
              </w:rPr>
              <w:t xml:space="preserve"> to help the young person achieve these. </w:t>
            </w:r>
            <w:r w:rsidRPr="009E580C">
              <w:rPr>
                <w:bCs/>
              </w:rPr>
              <w:t xml:space="preserve">Mentoring is underpinned by regular contact, via face-to-face meeting, and social media platforms such as SMS, WhatsApp, or Skype. The mentor should also be well positioned </w:t>
            </w:r>
            <w:proofErr w:type="gramStart"/>
            <w:r w:rsidRPr="009E580C">
              <w:rPr>
                <w:bCs/>
              </w:rPr>
              <w:t>in order to</w:t>
            </w:r>
            <w:proofErr w:type="gramEnd"/>
            <w:r w:rsidRPr="009E580C">
              <w:rPr>
                <w:bCs/>
              </w:rPr>
              <w:t xml:space="preserve"> signpost relevant training, and long-term support.</w:t>
            </w:r>
          </w:p>
        </w:tc>
      </w:tr>
      <w:tr w:rsidR="00E16D29" w14:paraId="15785A21" w14:textId="77777777" w:rsidTr="005D116E">
        <w:tc>
          <w:tcPr>
            <w:tcW w:w="1836" w:type="dxa"/>
            <w:shd w:val="clear" w:color="auto" w:fill="FFD966" w:themeFill="accent4" w:themeFillTint="99"/>
            <w:vAlign w:val="center"/>
          </w:tcPr>
          <w:p w14:paraId="18569A41" w14:textId="77777777" w:rsidR="00E16D29" w:rsidRPr="008675D5" w:rsidRDefault="00E16D29" w:rsidP="005D116E">
            <w:pPr>
              <w:jc w:val="center"/>
              <w:rPr>
                <w:b/>
                <w:bCs/>
                <w:color w:val="0070C0"/>
              </w:rPr>
            </w:pPr>
            <w:r w:rsidRPr="008675D5">
              <w:rPr>
                <w:b/>
                <w:bCs/>
                <w:color w:val="0070C0"/>
              </w:rPr>
              <w:t>Examples</w:t>
            </w:r>
          </w:p>
        </w:tc>
        <w:tc>
          <w:tcPr>
            <w:tcW w:w="7160" w:type="dxa"/>
            <w:shd w:val="clear" w:color="auto" w:fill="FFFFFF" w:themeFill="background1"/>
          </w:tcPr>
          <w:p w14:paraId="039227AF" w14:textId="2D1204A3" w:rsidR="00E16D29" w:rsidRPr="009E580C" w:rsidRDefault="00E16D29" w:rsidP="00BF71D5">
            <w:pPr>
              <w:pStyle w:val="ListParagraph"/>
              <w:numPr>
                <w:ilvl w:val="0"/>
                <w:numId w:val="1"/>
              </w:numPr>
              <w:jc w:val="both"/>
            </w:pPr>
            <w:r w:rsidRPr="009E580C">
              <w:rPr>
                <w:b/>
                <w:bCs/>
                <w:color w:val="4472C4" w:themeColor="accent1"/>
              </w:rPr>
              <w:t>Mind map</w:t>
            </w:r>
            <w:r w:rsidRPr="009E580C">
              <w:t xml:space="preserve">: </w:t>
            </w:r>
            <w:r w:rsidR="00837AF2">
              <w:t>a</w:t>
            </w:r>
            <w:r w:rsidRPr="009E580C">
              <w:t xml:space="preserve"> pictorial and/or textual account of the young person’s starting situation, enabling them to </w:t>
            </w:r>
            <w:r w:rsidRPr="009E580C">
              <w:rPr>
                <w:bCs/>
              </w:rPr>
              <w:t>visualise and document the starting point for mentoring.</w:t>
            </w:r>
          </w:p>
          <w:p w14:paraId="19091E59" w14:textId="28B082A0" w:rsidR="00E16D29" w:rsidRPr="009E580C" w:rsidRDefault="00E16D29" w:rsidP="00BF71D5">
            <w:pPr>
              <w:pStyle w:val="ListParagraph"/>
              <w:numPr>
                <w:ilvl w:val="0"/>
                <w:numId w:val="1"/>
              </w:numPr>
              <w:jc w:val="both"/>
              <w:rPr>
                <w:b/>
                <w:bCs/>
              </w:rPr>
            </w:pPr>
            <w:r w:rsidRPr="009E580C">
              <w:rPr>
                <w:b/>
                <w:bCs/>
                <w:color w:val="4472C4" w:themeColor="accent1"/>
              </w:rPr>
              <w:t>Trust building</w:t>
            </w:r>
            <w:r w:rsidRPr="009E580C">
              <w:rPr>
                <w:b/>
                <w:bCs/>
              </w:rPr>
              <w:t xml:space="preserve">: </w:t>
            </w:r>
            <w:r w:rsidR="00837AF2">
              <w:rPr>
                <w:b/>
                <w:bCs/>
              </w:rPr>
              <w:t>t</w:t>
            </w:r>
            <w:r w:rsidRPr="009E580C">
              <w:t>he mentor to model a relationship based on respect and compassion. Trust cannot be requested at the outset but is worked on and achieved on the part of both mentor and mentee.</w:t>
            </w:r>
          </w:p>
          <w:p w14:paraId="1B0121BF" w14:textId="2F12D2CD" w:rsidR="00E16D29" w:rsidRDefault="00E16D29" w:rsidP="00BF71D5">
            <w:pPr>
              <w:pStyle w:val="ListParagraph"/>
              <w:numPr>
                <w:ilvl w:val="0"/>
                <w:numId w:val="1"/>
              </w:numPr>
              <w:jc w:val="both"/>
            </w:pPr>
            <w:r w:rsidRPr="009E580C">
              <w:rPr>
                <w:b/>
                <w:bCs/>
                <w:color w:val="4472C4" w:themeColor="accent1"/>
              </w:rPr>
              <w:t>R</w:t>
            </w:r>
            <w:r>
              <w:rPr>
                <w:b/>
                <w:bCs/>
                <w:color w:val="4472C4" w:themeColor="accent1"/>
              </w:rPr>
              <w:t xml:space="preserve">egular </w:t>
            </w:r>
            <w:r w:rsidRPr="000D2F0C">
              <w:rPr>
                <w:b/>
                <w:bCs/>
                <w:color w:val="4472C4" w:themeColor="accent1"/>
              </w:rPr>
              <w:t>contact</w:t>
            </w:r>
            <w:r w:rsidRPr="000D2F0C">
              <w:t xml:space="preserve">: </w:t>
            </w:r>
            <w:r w:rsidR="00837AF2">
              <w:t>r</w:t>
            </w:r>
            <w:r w:rsidRPr="000D2F0C">
              <w:t>egular contact via face-to-face and social media</w:t>
            </w:r>
            <w:r w:rsidR="009A0B8B">
              <w:t xml:space="preserve"> helps </w:t>
            </w:r>
            <w:r w:rsidRPr="000D2F0C">
              <w:t xml:space="preserve">the young person </w:t>
            </w:r>
            <w:r w:rsidR="00187CD4">
              <w:t>feel</w:t>
            </w:r>
            <w:r w:rsidRPr="000D2F0C">
              <w:t xml:space="preserve"> that they are cared for and have a champion.</w:t>
            </w:r>
          </w:p>
        </w:tc>
      </w:tr>
    </w:tbl>
    <w:p w14:paraId="10B2157E" w14:textId="067BAD37" w:rsidR="00E16D29" w:rsidRDefault="00E16D29"/>
    <w:p w14:paraId="51B0CF1A" w14:textId="0705F429" w:rsidR="00EB0E0C" w:rsidRDefault="00EB0E0C"/>
    <w:p w14:paraId="0A7488F6" w14:textId="77777777" w:rsidR="00EB0E0C" w:rsidRDefault="00EB0E0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E16D29" w14:paraId="12BEAD56" w14:textId="77777777" w:rsidTr="005D116E">
        <w:tc>
          <w:tcPr>
            <w:tcW w:w="8996" w:type="dxa"/>
            <w:gridSpan w:val="2"/>
            <w:shd w:val="clear" w:color="auto" w:fill="FFC000" w:themeFill="accent4"/>
            <w:vAlign w:val="center"/>
          </w:tcPr>
          <w:p w14:paraId="6B6B6997" w14:textId="339D08FF" w:rsidR="00E16D29" w:rsidRPr="00E16D29" w:rsidRDefault="0055073D" w:rsidP="00D51B7D">
            <w:pPr>
              <w:pStyle w:val="Heading1"/>
              <w:outlineLvl w:val="0"/>
            </w:pPr>
            <w:bookmarkStart w:id="2" w:name="_Toc44942574"/>
            <w:r>
              <w:lastRenderedPageBreak/>
              <w:t>Action</w:t>
            </w:r>
            <w:r w:rsidR="00E16D29" w:rsidRPr="00E16D29">
              <w:t xml:space="preserve"> 3: Personal development activities to engage young people in learning</w:t>
            </w:r>
            <w:bookmarkEnd w:id="2"/>
          </w:p>
        </w:tc>
      </w:tr>
      <w:tr w:rsidR="00E16D29" w14:paraId="5EE6D8DF" w14:textId="77777777" w:rsidTr="005D116E">
        <w:tc>
          <w:tcPr>
            <w:tcW w:w="1836" w:type="dxa"/>
            <w:shd w:val="clear" w:color="auto" w:fill="FFD966" w:themeFill="accent4" w:themeFillTint="99"/>
            <w:vAlign w:val="center"/>
          </w:tcPr>
          <w:p w14:paraId="380C69E0" w14:textId="77777777" w:rsidR="00E16D29" w:rsidRPr="008675D5" w:rsidRDefault="00E16D29" w:rsidP="005D116E">
            <w:pPr>
              <w:jc w:val="center"/>
              <w:rPr>
                <w:b/>
                <w:bCs/>
                <w:color w:val="0070C0"/>
              </w:rPr>
            </w:pPr>
            <w:r w:rsidRPr="008675D5">
              <w:rPr>
                <w:b/>
                <w:bCs/>
                <w:color w:val="0070C0"/>
              </w:rPr>
              <w:t>Aim</w:t>
            </w:r>
          </w:p>
        </w:tc>
        <w:tc>
          <w:tcPr>
            <w:tcW w:w="7160" w:type="dxa"/>
            <w:shd w:val="clear" w:color="auto" w:fill="FFFFFF" w:themeFill="background1"/>
          </w:tcPr>
          <w:p w14:paraId="4F46819A" w14:textId="06E01461" w:rsidR="00E16D29" w:rsidRDefault="00EB0E0C" w:rsidP="00BF71D5">
            <w:pPr>
              <w:jc w:val="both"/>
            </w:pPr>
            <w:r>
              <w:rPr>
                <w:bCs/>
              </w:rPr>
              <w:t xml:space="preserve">To </w:t>
            </w:r>
            <w:r w:rsidR="005E3B70">
              <w:rPr>
                <w:bCs/>
              </w:rPr>
              <w:t>engage</w:t>
            </w:r>
            <w:r w:rsidR="002C1CB1">
              <w:rPr>
                <w:bCs/>
              </w:rPr>
              <w:t xml:space="preserve"> young people in activities </w:t>
            </w:r>
            <w:r w:rsidR="00E16D29" w:rsidRPr="00A636DB">
              <w:rPr>
                <w:bCs/>
              </w:rPr>
              <w:t xml:space="preserve">to improve </w:t>
            </w:r>
            <w:r w:rsidR="002C1CB1">
              <w:rPr>
                <w:bCs/>
              </w:rPr>
              <w:t>their</w:t>
            </w:r>
            <w:r w:rsidR="008E3608">
              <w:rPr>
                <w:bCs/>
              </w:rPr>
              <w:t xml:space="preserve"> </w:t>
            </w:r>
            <w:r w:rsidR="00E16D29" w:rsidRPr="00A636DB">
              <w:rPr>
                <w:bCs/>
              </w:rPr>
              <w:t>self-concept</w:t>
            </w:r>
            <w:r w:rsidR="00E55068">
              <w:rPr>
                <w:bCs/>
              </w:rPr>
              <w:t>, helping them</w:t>
            </w:r>
            <w:r w:rsidR="00A151C5">
              <w:rPr>
                <w:bCs/>
              </w:rPr>
              <w:t xml:space="preserve"> to</w:t>
            </w:r>
            <w:r w:rsidR="00E55068">
              <w:rPr>
                <w:bCs/>
              </w:rPr>
              <w:t xml:space="preserve"> see themselves</w:t>
            </w:r>
            <w:r w:rsidR="00E16D29" w:rsidRPr="00A636DB">
              <w:rPr>
                <w:bCs/>
              </w:rPr>
              <w:t xml:space="preserve"> as a valued learner</w:t>
            </w:r>
            <w:r w:rsidR="00E55068">
              <w:rPr>
                <w:bCs/>
              </w:rPr>
              <w:t xml:space="preserve"> and </w:t>
            </w:r>
            <w:r w:rsidR="00914839">
              <w:rPr>
                <w:bCs/>
              </w:rPr>
              <w:t>feel</w:t>
            </w:r>
            <w:r w:rsidR="00E55068">
              <w:rPr>
                <w:bCs/>
              </w:rPr>
              <w:t xml:space="preserve"> </w:t>
            </w:r>
            <w:r w:rsidR="00E16D29">
              <w:rPr>
                <w:bCs/>
              </w:rPr>
              <w:t xml:space="preserve">a sense of belonging in the educational or training setting. </w:t>
            </w:r>
          </w:p>
        </w:tc>
      </w:tr>
      <w:tr w:rsidR="00E16D29" w14:paraId="7AD21FA5" w14:textId="77777777" w:rsidTr="005D116E">
        <w:tc>
          <w:tcPr>
            <w:tcW w:w="1836" w:type="dxa"/>
            <w:shd w:val="clear" w:color="auto" w:fill="FFD966" w:themeFill="accent4" w:themeFillTint="99"/>
            <w:vAlign w:val="center"/>
          </w:tcPr>
          <w:p w14:paraId="591ABA60" w14:textId="77777777" w:rsidR="00E16D29" w:rsidRPr="008675D5" w:rsidRDefault="00E16D29" w:rsidP="005D116E">
            <w:pPr>
              <w:jc w:val="center"/>
              <w:rPr>
                <w:b/>
                <w:bCs/>
                <w:color w:val="0070C0"/>
              </w:rPr>
            </w:pPr>
            <w:r w:rsidRPr="008675D5">
              <w:rPr>
                <w:b/>
                <w:bCs/>
                <w:color w:val="0070C0"/>
              </w:rPr>
              <w:t>Description</w:t>
            </w:r>
          </w:p>
        </w:tc>
        <w:tc>
          <w:tcPr>
            <w:tcW w:w="7160" w:type="dxa"/>
            <w:shd w:val="clear" w:color="auto" w:fill="FFFFFF" w:themeFill="background1"/>
          </w:tcPr>
          <w:p w14:paraId="716CED22" w14:textId="12C438AF" w:rsidR="00E16D29" w:rsidRDefault="00E16D29" w:rsidP="00BF71D5">
            <w:pPr>
              <w:jc w:val="both"/>
            </w:pPr>
            <w:r w:rsidRPr="005E2027">
              <w:t>Activities designed to counter previous negative schooling experiences</w:t>
            </w:r>
            <w:r w:rsidR="00E0067F">
              <w:t xml:space="preserve">, </w:t>
            </w:r>
            <w:r w:rsidRPr="005E2027">
              <w:t>motivate</w:t>
            </w:r>
            <w:r w:rsidR="006A295B">
              <w:t xml:space="preserve">, </w:t>
            </w:r>
            <w:r w:rsidRPr="005E2027">
              <w:t xml:space="preserve">inspire </w:t>
            </w:r>
            <w:r w:rsidR="006A295B">
              <w:t xml:space="preserve">and </w:t>
            </w:r>
            <w:r w:rsidRPr="005E2027">
              <w:t xml:space="preserve">break down barriers </w:t>
            </w:r>
            <w:r w:rsidR="006A295B">
              <w:t>young people</w:t>
            </w:r>
            <w:r w:rsidRPr="005E2027">
              <w:t xml:space="preserve"> may feel towards their cohort or educators. Measures to build motivation can help to build trust in their capabilities and interest in education and training. These activities are particularly useful to re</w:t>
            </w:r>
            <w:r w:rsidR="00720717">
              <w:t>-</w:t>
            </w:r>
            <w:r w:rsidRPr="005E2027">
              <w:t xml:space="preserve">engage those who are highly disengaged from education and training, and at-risk students showing signs of low motivation. The activities should </w:t>
            </w:r>
            <w:r w:rsidR="006611C5">
              <w:t>engage young people</w:t>
            </w:r>
            <w:r w:rsidR="00050A74">
              <w:t xml:space="preserve"> by</w:t>
            </w:r>
            <w:r w:rsidR="006611C5">
              <w:t xml:space="preserve"> </w:t>
            </w:r>
            <w:r w:rsidR="00871476">
              <w:t>strengthen</w:t>
            </w:r>
            <w:r w:rsidR="00050A74">
              <w:t>ing</w:t>
            </w:r>
            <w:r w:rsidRPr="005E2027">
              <w:t xml:space="preserve"> their self-confidence and </w:t>
            </w:r>
            <w:r w:rsidR="00707F17">
              <w:t>re</w:t>
            </w:r>
            <w:r w:rsidRPr="005E2027">
              <w:t>ignit</w:t>
            </w:r>
            <w:r w:rsidR="00050A74">
              <w:t xml:space="preserve">ing </w:t>
            </w:r>
            <w:r w:rsidRPr="005E2027">
              <w:t>an interest in learning at the outset of their education</w:t>
            </w:r>
            <w:r>
              <w:t>/</w:t>
            </w:r>
            <w:r w:rsidRPr="005E2027">
              <w:t>training.</w:t>
            </w:r>
          </w:p>
        </w:tc>
      </w:tr>
      <w:tr w:rsidR="00E16D29" w14:paraId="16AFF708" w14:textId="77777777" w:rsidTr="005D116E">
        <w:tc>
          <w:tcPr>
            <w:tcW w:w="1836" w:type="dxa"/>
            <w:shd w:val="clear" w:color="auto" w:fill="FFD966" w:themeFill="accent4" w:themeFillTint="99"/>
            <w:vAlign w:val="center"/>
          </w:tcPr>
          <w:p w14:paraId="6A14E52A" w14:textId="77777777" w:rsidR="00E16D29" w:rsidRPr="008675D5" w:rsidRDefault="00E16D29" w:rsidP="005D116E">
            <w:pPr>
              <w:jc w:val="center"/>
              <w:rPr>
                <w:b/>
                <w:bCs/>
                <w:color w:val="0070C0"/>
              </w:rPr>
            </w:pPr>
            <w:r w:rsidRPr="008675D5">
              <w:rPr>
                <w:b/>
                <w:bCs/>
                <w:color w:val="0070C0"/>
              </w:rPr>
              <w:t>Examples</w:t>
            </w:r>
          </w:p>
        </w:tc>
        <w:tc>
          <w:tcPr>
            <w:tcW w:w="7160" w:type="dxa"/>
            <w:shd w:val="clear" w:color="auto" w:fill="FFFFFF" w:themeFill="background1"/>
          </w:tcPr>
          <w:p w14:paraId="231567F3" w14:textId="69C4072C" w:rsidR="00E16D29" w:rsidRDefault="00E16D29" w:rsidP="00BF71D5">
            <w:pPr>
              <w:pStyle w:val="ListParagraph"/>
              <w:numPr>
                <w:ilvl w:val="0"/>
                <w:numId w:val="1"/>
              </w:numPr>
              <w:jc w:val="both"/>
            </w:pPr>
            <w:r>
              <w:rPr>
                <w:b/>
                <w:bCs/>
                <w:color w:val="4472C4" w:themeColor="accent1"/>
              </w:rPr>
              <w:t>Community involvement</w:t>
            </w:r>
            <w:r w:rsidRPr="00613D80">
              <w:t xml:space="preserve">: </w:t>
            </w:r>
            <w:r w:rsidR="00837AF2">
              <w:t>a</w:t>
            </w:r>
            <w:r w:rsidRPr="00613D80">
              <w:rPr>
                <w:bCs/>
              </w:rPr>
              <w:t>ctivities to engage and motivate young people that are situated in</w:t>
            </w:r>
            <w:r w:rsidR="00365516">
              <w:rPr>
                <w:bCs/>
              </w:rPr>
              <w:t xml:space="preserve"> </w:t>
            </w:r>
            <w:r w:rsidRPr="00613D80">
              <w:rPr>
                <w:bCs/>
              </w:rPr>
              <w:t>and require the involvement of</w:t>
            </w:r>
            <w:r w:rsidRPr="00613D80">
              <w:t xml:space="preserve"> the community (</w:t>
            </w:r>
            <w:proofErr w:type="gramStart"/>
            <w:r w:rsidRPr="00613D80">
              <w:t>e.g.</w:t>
            </w:r>
            <w:proofErr w:type="gramEnd"/>
            <w:r w:rsidRPr="00613D80">
              <w:t xml:space="preserve"> local employers </w:t>
            </w:r>
            <w:r>
              <w:t>or</w:t>
            </w:r>
            <w:r w:rsidRPr="00613D80">
              <w:t xml:space="preserve"> </w:t>
            </w:r>
            <w:r>
              <w:t>organisations</w:t>
            </w:r>
            <w:r w:rsidRPr="00613D80">
              <w:t>).</w:t>
            </w:r>
          </w:p>
          <w:p w14:paraId="07419B6A" w14:textId="77777777" w:rsidR="00E16D29" w:rsidRDefault="00E16D29" w:rsidP="00BF71D5">
            <w:pPr>
              <w:pStyle w:val="ListParagraph"/>
              <w:numPr>
                <w:ilvl w:val="0"/>
                <w:numId w:val="1"/>
              </w:numPr>
              <w:jc w:val="both"/>
            </w:pPr>
            <w:r>
              <w:rPr>
                <w:b/>
                <w:bCs/>
                <w:color w:val="4472C4" w:themeColor="accent1"/>
              </w:rPr>
              <w:t>Student co-ops</w:t>
            </w:r>
            <w:r>
              <w:t>: local enterprise projects to address</w:t>
            </w:r>
            <w:r w:rsidRPr="00426546">
              <w:t xml:space="preserve"> the improvement of the </w:t>
            </w:r>
            <w:r>
              <w:t>community</w:t>
            </w:r>
            <w:r w:rsidRPr="00426546">
              <w:t xml:space="preserve"> </w:t>
            </w:r>
            <w:r>
              <w:t xml:space="preserve">where </w:t>
            </w:r>
            <w:r w:rsidRPr="00426546">
              <w:t xml:space="preserve">part of the profits </w:t>
            </w:r>
            <w:r>
              <w:t>or gains are directly invested into the locality</w:t>
            </w:r>
            <w:r w:rsidRPr="00426546">
              <w:t>.</w:t>
            </w:r>
          </w:p>
          <w:p w14:paraId="7EBC3E53" w14:textId="56745E3A" w:rsidR="00E16D29" w:rsidRDefault="00E16D29" w:rsidP="00BF71D5">
            <w:pPr>
              <w:pStyle w:val="ListParagraph"/>
              <w:numPr>
                <w:ilvl w:val="0"/>
                <w:numId w:val="1"/>
              </w:numPr>
              <w:jc w:val="both"/>
            </w:pPr>
            <w:r>
              <w:rPr>
                <w:b/>
                <w:bCs/>
                <w:color w:val="4472C4" w:themeColor="accent1"/>
              </w:rPr>
              <w:t>Students’ voice panel</w:t>
            </w:r>
            <w:r>
              <w:t xml:space="preserve">: </w:t>
            </w:r>
            <w:r w:rsidRPr="00426546">
              <w:t>regular meeting</w:t>
            </w:r>
            <w:r w:rsidR="001D0D1D">
              <w:t>s</w:t>
            </w:r>
            <w:r w:rsidRPr="00426546">
              <w:t xml:space="preserve"> between </w:t>
            </w:r>
            <w:r w:rsidR="00631FB5">
              <w:t>s</w:t>
            </w:r>
            <w:r w:rsidRPr="00426546">
              <w:t>chool</w:t>
            </w:r>
            <w:r w:rsidR="00631FB5">
              <w:t xml:space="preserve"> </w:t>
            </w:r>
            <w:r w:rsidRPr="00426546">
              <w:t>leaders and young people</w:t>
            </w:r>
            <w:r>
              <w:t xml:space="preserve"> </w:t>
            </w:r>
            <w:r w:rsidR="0060153D">
              <w:t>for</w:t>
            </w:r>
            <w:r w:rsidRPr="00426546">
              <w:t xml:space="preserve"> representatives </w:t>
            </w:r>
            <w:r w:rsidR="0060153D">
              <w:t xml:space="preserve">to </w:t>
            </w:r>
            <w:r w:rsidRPr="00426546">
              <w:t>bring the concerns and queries from their cohorts</w:t>
            </w:r>
            <w:r>
              <w:t xml:space="preserve"> and oversee actions</w:t>
            </w:r>
            <w:r w:rsidRPr="00426546">
              <w:t>.</w:t>
            </w:r>
          </w:p>
        </w:tc>
      </w:tr>
    </w:tbl>
    <w:p w14:paraId="3B93EED1" w14:textId="5C7A2C9D" w:rsidR="00A636DB" w:rsidRDefault="00A636DB" w:rsidP="00A636DB">
      <w:pPr>
        <w:rPr>
          <w:b/>
          <w:bCs/>
        </w:rPr>
      </w:pPr>
    </w:p>
    <w:p w14:paraId="560E79F2" w14:textId="77777777" w:rsidR="00726E85" w:rsidRPr="00A636DB" w:rsidRDefault="00726E85" w:rsidP="00A636DB">
      <w:pPr>
        <w:rPr>
          <w:b/>
          <w:b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E16D29" w14:paraId="577875B4" w14:textId="77777777" w:rsidTr="005D116E">
        <w:tc>
          <w:tcPr>
            <w:tcW w:w="8996" w:type="dxa"/>
            <w:gridSpan w:val="2"/>
            <w:shd w:val="clear" w:color="auto" w:fill="FFC000" w:themeFill="accent4"/>
            <w:vAlign w:val="center"/>
          </w:tcPr>
          <w:p w14:paraId="35173C7E" w14:textId="0B7B82CB" w:rsidR="00E16D29" w:rsidRPr="00E16D29" w:rsidRDefault="0055073D" w:rsidP="00D51B7D">
            <w:pPr>
              <w:pStyle w:val="Heading1"/>
              <w:outlineLvl w:val="0"/>
            </w:pPr>
            <w:bookmarkStart w:id="3" w:name="_Toc44942575"/>
            <w:r>
              <w:t>Action</w:t>
            </w:r>
            <w:r w:rsidR="00E16D29" w:rsidRPr="00E16D29">
              <w:t xml:space="preserve"> 4: Peer</w:t>
            </w:r>
            <w:r w:rsidR="005222FF">
              <w:t>-to-peer</w:t>
            </w:r>
            <w:r w:rsidR="00E16D29" w:rsidRPr="00E16D29">
              <w:t xml:space="preserve"> </w:t>
            </w:r>
            <w:r w:rsidR="009D7A65">
              <w:t>l</w:t>
            </w:r>
            <w:r w:rsidR="00E16D29" w:rsidRPr="00E16D29">
              <w:t xml:space="preserve">earning and </w:t>
            </w:r>
            <w:r w:rsidR="009D7A65">
              <w:t>s</w:t>
            </w:r>
            <w:r w:rsidR="00E16D29" w:rsidRPr="00E16D29">
              <w:t>upport</w:t>
            </w:r>
            <w:bookmarkEnd w:id="3"/>
          </w:p>
        </w:tc>
      </w:tr>
      <w:tr w:rsidR="00E16D29" w14:paraId="43A2A935" w14:textId="77777777" w:rsidTr="005D116E">
        <w:tc>
          <w:tcPr>
            <w:tcW w:w="1836" w:type="dxa"/>
            <w:shd w:val="clear" w:color="auto" w:fill="FFD966" w:themeFill="accent4" w:themeFillTint="99"/>
            <w:vAlign w:val="center"/>
          </w:tcPr>
          <w:p w14:paraId="4348629E" w14:textId="77777777" w:rsidR="00E16D29" w:rsidRPr="008675D5" w:rsidRDefault="00E16D29" w:rsidP="005D116E">
            <w:pPr>
              <w:jc w:val="center"/>
              <w:rPr>
                <w:b/>
                <w:bCs/>
                <w:color w:val="0070C0"/>
              </w:rPr>
            </w:pPr>
            <w:r w:rsidRPr="008675D5">
              <w:rPr>
                <w:b/>
                <w:bCs/>
                <w:color w:val="0070C0"/>
              </w:rPr>
              <w:t>Aim</w:t>
            </w:r>
          </w:p>
        </w:tc>
        <w:tc>
          <w:tcPr>
            <w:tcW w:w="7160" w:type="dxa"/>
            <w:shd w:val="clear" w:color="auto" w:fill="FFFFFF" w:themeFill="background1"/>
          </w:tcPr>
          <w:p w14:paraId="4AFC1446" w14:textId="74CCE554" w:rsidR="00E16D29" w:rsidRDefault="00E16D29" w:rsidP="00BF71D5">
            <w:pPr>
              <w:jc w:val="both"/>
            </w:pPr>
            <w:r w:rsidRPr="00A742BE">
              <w:rPr>
                <w:bCs/>
              </w:rPr>
              <w:t xml:space="preserve">To </w:t>
            </w:r>
            <w:r w:rsidR="00123884">
              <w:rPr>
                <w:bCs/>
              </w:rPr>
              <w:t>facilitate</w:t>
            </w:r>
            <w:r w:rsidR="00266906">
              <w:rPr>
                <w:bCs/>
              </w:rPr>
              <w:t xml:space="preserve"> </w:t>
            </w:r>
            <w:r w:rsidRPr="00A742BE">
              <w:rPr>
                <w:bCs/>
              </w:rPr>
              <w:t xml:space="preserve">support and social interaction </w:t>
            </w:r>
            <w:r w:rsidR="00094F90">
              <w:rPr>
                <w:bCs/>
              </w:rPr>
              <w:t>with</w:t>
            </w:r>
            <w:r w:rsidRPr="00A742BE">
              <w:rPr>
                <w:bCs/>
              </w:rPr>
              <w:t xml:space="preserve"> a peer from </w:t>
            </w:r>
            <w:r w:rsidR="004E1BBB">
              <w:rPr>
                <w:bCs/>
              </w:rPr>
              <w:t>a</w:t>
            </w:r>
            <w:r w:rsidRPr="00A742BE">
              <w:rPr>
                <w:bCs/>
              </w:rPr>
              <w:t xml:space="preserve"> similar cohort</w:t>
            </w:r>
            <w:r>
              <w:rPr>
                <w:bCs/>
              </w:rPr>
              <w:t>,</w:t>
            </w:r>
            <w:r w:rsidRPr="00A742BE">
              <w:rPr>
                <w:bCs/>
              </w:rPr>
              <w:t xml:space="preserve"> </w:t>
            </w:r>
            <w:r>
              <w:rPr>
                <w:bCs/>
              </w:rPr>
              <w:t>w</w:t>
            </w:r>
            <w:r w:rsidRPr="00A742BE">
              <w:rPr>
                <w:bCs/>
              </w:rPr>
              <w:t xml:space="preserve">ho acts as a positive role model and offers counsel, resources, </w:t>
            </w:r>
            <w:r>
              <w:rPr>
                <w:bCs/>
              </w:rPr>
              <w:t xml:space="preserve">skills </w:t>
            </w:r>
            <w:r w:rsidRPr="00A742BE">
              <w:rPr>
                <w:bCs/>
              </w:rPr>
              <w:t>and advice.</w:t>
            </w:r>
          </w:p>
        </w:tc>
      </w:tr>
      <w:tr w:rsidR="00E16D29" w14:paraId="4CF971A9" w14:textId="77777777" w:rsidTr="005D116E">
        <w:tc>
          <w:tcPr>
            <w:tcW w:w="1836" w:type="dxa"/>
            <w:shd w:val="clear" w:color="auto" w:fill="FFD966" w:themeFill="accent4" w:themeFillTint="99"/>
            <w:vAlign w:val="center"/>
          </w:tcPr>
          <w:p w14:paraId="52421FAF" w14:textId="77777777" w:rsidR="00E16D29" w:rsidRPr="008675D5" w:rsidRDefault="00E16D29" w:rsidP="005D116E">
            <w:pPr>
              <w:jc w:val="center"/>
              <w:rPr>
                <w:b/>
                <w:bCs/>
                <w:color w:val="0070C0"/>
              </w:rPr>
            </w:pPr>
            <w:r w:rsidRPr="008675D5">
              <w:rPr>
                <w:b/>
                <w:bCs/>
                <w:color w:val="0070C0"/>
              </w:rPr>
              <w:t>Description</w:t>
            </w:r>
          </w:p>
        </w:tc>
        <w:tc>
          <w:tcPr>
            <w:tcW w:w="7160" w:type="dxa"/>
            <w:shd w:val="clear" w:color="auto" w:fill="FFFFFF" w:themeFill="background1"/>
          </w:tcPr>
          <w:p w14:paraId="4DC656B6" w14:textId="75DBBFCE" w:rsidR="00E16D29" w:rsidRDefault="00E16D29" w:rsidP="00BF71D5">
            <w:pPr>
              <w:jc w:val="both"/>
            </w:pPr>
            <w:r w:rsidRPr="00C9344F">
              <w:t xml:space="preserve">Young </w:t>
            </w:r>
            <w:r w:rsidRPr="00C9344F">
              <w:rPr>
                <w:bCs/>
              </w:rPr>
              <w:t>people are best equipped to relate to other young people and the power dynamic is more egalitarian than with an adult.</w:t>
            </w:r>
            <w:r w:rsidRPr="00C9344F">
              <w:t xml:space="preserve"> Peer learning occurs when students learn collaboratively</w:t>
            </w:r>
            <w:r>
              <w:t>,</w:t>
            </w:r>
            <w:r w:rsidRPr="00C9344F">
              <w:t xml:space="preserve"> while peer support benefit</w:t>
            </w:r>
            <w:r w:rsidR="00E65F66">
              <w:t>s</w:t>
            </w:r>
            <w:r w:rsidRPr="00C9344F">
              <w:t xml:space="preserve"> the learning and confidence of both peer and mentor. </w:t>
            </w:r>
            <w:r w:rsidR="00C51EA5">
              <w:t>For</w:t>
            </w:r>
            <w:r w:rsidRPr="00C9344F">
              <w:t xml:space="preserve"> this strategy</w:t>
            </w:r>
            <w:r w:rsidR="00C51EA5">
              <w:t>,</w:t>
            </w:r>
            <w:r w:rsidRPr="00C9344F">
              <w:t xml:space="preserve"> peers should ideally both be learners in the educational setting, be broadly equal in terms of achievement level or status, and each get something educationally beneficial out of the collaboration. Mentors can address issues affecting learning, and provide young people with the confidence, resources, and skills needed to </w:t>
            </w:r>
            <w:r>
              <w:t>thrive</w:t>
            </w:r>
            <w:r w:rsidRPr="00C9344F">
              <w:t>.</w:t>
            </w:r>
            <w:r w:rsidRPr="00C9344F">
              <w:rPr>
                <w:bCs/>
                <w:color w:val="FF0000"/>
              </w:rPr>
              <w:t xml:space="preserve">   </w:t>
            </w:r>
          </w:p>
        </w:tc>
      </w:tr>
      <w:tr w:rsidR="00E16D29" w14:paraId="33CC995E" w14:textId="77777777" w:rsidTr="005D116E">
        <w:tc>
          <w:tcPr>
            <w:tcW w:w="1836" w:type="dxa"/>
            <w:shd w:val="clear" w:color="auto" w:fill="FFD966" w:themeFill="accent4" w:themeFillTint="99"/>
            <w:vAlign w:val="center"/>
          </w:tcPr>
          <w:p w14:paraId="188A4FAA" w14:textId="77777777" w:rsidR="00E16D29" w:rsidRPr="008675D5" w:rsidRDefault="00E16D29" w:rsidP="005D116E">
            <w:pPr>
              <w:jc w:val="center"/>
              <w:rPr>
                <w:b/>
                <w:bCs/>
                <w:color w:val="0070C0"/>
              </w:rPr>
            </w:pPr>
            <w:r w:rsidRPr="008675D5">
              <w:rPr>
                <w:b/>
                <w:bCs/>
                <w:color w:val="0070C0"/>
              </w:rPr>
              <w:t>Examples</w:t>
            </w:r>
          </w:p>
        </w:tc>
        <w:tc>
          <w:tcPr>
            <w:tcW w:w="7160" w:type="dxa"/>
            <w:shd w:val="clear" w:color="auto" w:fill="FFFFFF" w:themeFill="background1"/>
          </w:tcPr>
          <w:p w14:paraId="2073816A" w14:textId="4B88F386" w:rsidR="00E16D29" w:rsidRDefault="00E16D29" w:rsidP="00BF71D5">
            <w:pPr>
              <w:pStyle w:val="ListParagraph"/>
              <w:numPr>
                <w:ilvl w:val="0"/>
                <w:numId w:val="1"/>
              </w:numPr>
              <w:jc w:val="both"/>
            </w:pPr>
            <w:r w:rsidRPr="00C9344F">
              <w:rPr>
                <w:b/>
                <w:bCs/>
                <w:color w:val="4472C4" w:themeColor="accent1"/>
              </w:rPr>
              <w:t xml:space="preserve">Peer tutoring or </w:t>
            </w:r>
            <w:r w:rsidR="00D0346A">
              <w:rPr>
                <w:b/>
                <w:bCs/>
                <w:color w:val="4472C4" w:themeColor="accent1"/>
              </w:rPr>
              <w:t>p</w:t>
            </w:r>
            <w:r w:rsidRPr="00C9344F">
              <w:rPr>
                <w:b/>
                <w:bCs/>
                <w:color w:val="4472C4" w:themeColor="accent1"/>
              </w:rPr>
              <w:t>eer mentoring programmes</w:t>
            </w:r>
            <w:r>
              <w:rPr>
                <w:b/>
              </w:rPr>
              <w:t>:</w:t>
            </w:r>
            <w:r w:rsidRPr="00C9344F">
              <w:rPr>
                <w:b/>
              </w:rPr>
              <w:t xml:space="preserve"> </w:t>
            </w:r>
            <w:r w:rsidRPr="00426546">
              <w:t>T</w:t>
            </w:r>
            <w:r>
              <w:t>raining programmes</w:t>
            </w:r>
            <w:r w:rsidRPr="00426546">
              <w:t xml:space="preserve"> based on matching peer mentors with mentees in one-on-one relationships so they can provide guidance and support</w:t>
            </w:r>
            <w:r>
              <w:t>.</w:t>
            </w:r>
          </w:p>
          <w:p w14:paraId="0A387ED3" w14:textId="17A25AEC" w:rsidR="00E16D29" w:rsidRDefault="00E16D29" w:rsidP="00BF71D5">
            <w:pPr>
              <w:pStyle w:val="ListParagraph"/>
              <w:numPr>
                <w:ilvl w:val="0"/>
                <w:numId w:val="1"/>
              </w:numPr>
              <w:jc w:val="both"/>
            </w:pPr>
            <w:r>
              <w:rPr>
                <w:b/>
                <w:bCs/>
                <w:color w:val="4472C4" w:themeColor="accent1"/>
              </w:rPr>
              <w:t xml:space="preserve">Proctor model: </w:t>
            </w:r>
            <w:r>
              <w:t>S</w:t>
            </w:r>
            <w:r w:rsidRPr="00426546">
              <w:t>enior students tutoring junior students. The senior student c</w:t>
            </w:r>
            <w:r w:rsidR="00D4111D">
              <w:t xml:space="preserve">ould </w:t>
            </w:r>
            <w:proofErr w:type="gramStart"/>
            <w:r w:rsidRPr="00426546">
              <w:t>be:</w:t>
            </w:r>
            <w:proofErr w:type="gramEnd"/>
            <w:r w:rsidRPr="00426546">
              <w:t xml:space="preserve"> a) </w:t>
            </w:r>
            <w:r w:rsidRPr="00426546">
              <w:rPr>
                <w:bCs/>
              </w:rPr>
              <w:t>an older student from a higher grade level; b) a</w:t>
            </w:r>
            <w:r w:rsidRPr="00426546">
              <w:rPr>
                <w:b/>
              </w:rPr>
              <w:t xml:space="preserve"> </w:t>
            </w:r>
            <w:r w:rsidRPr="00426546">
              <w:t>more skilled student helping a less skilled student in the same class</w:t>
            </w:r>
            <w:r>
              <w:t>.</w:t>
            </w:r>
          </w:p>
          <w:p w14:paraId="4D14D8C3" w14:textId="04F90B20" w:rsidR="00E16D29" w:rsidRDefault="00E16D29" w:rsidP="00BF71D5">
            <w:pPr>
              <w:pStyle w:val="ListParagraph"/>
              <w:numPr>
                <w:ilvl w:val="0"/>
                <w:numId w:val="1"/>
              </w:numPr>
              <w:jc w:val="both"/>
            </w:pPr>
            <w:r>
              <w:rPr>
                <w:b/>
                <w:bCs/>
                <w:color w:val="4472C4" w:themeColor="accent1"/>
              </w:rPr>
              <w:t>Peer support groups:</w:t>
            </w:r>
            <w:r>
              <w:t xml:space="preserve"> </w:t>
            </w:r>
            <w:r>
              <w:rPr>
                <w:b/>
              </w:rPr>
              <w:t xml:space="preserve"> </w:t>
            </w:r>
            <w:r w:rsidRPr="00F12026">
              <w:rPr>
                <w:bCs/>
              </w:rPr>
              <w:t>Al</w:t>
            </w:r>
            <w:r w:rsidRPr="00426546">
              <w:t xml:space="preserve">so known as </w:t>
            </w:r>
            <w:r>
              <w:t>peer</w:t>
            </w:r>
            <w:r w:rsidRPr="00426546">
              <w:t xml:space="preserve"> study groups</w:t>
            </w:r>
            <w:r>
              <w:t>,</w:t>
            </w:r>
            <w:r w:rsidRPr="00426546">
              <w:t xml:space="preserve"> </w:t>
            </w:r>
            <w:r>
              <w:t>these groups</w:t>
            </w:r>
            <w:r w:rsidRPr="00426546">
              <w:t xml:space="preserve"> tend </w:t>
            </w:r>
            <w:r>
              <w:t>to take place outside of the</w:t>
            </w:r>
            <w:r w:rsidRPr="00426546">
              <w:t xml:space="preserve"> teacher’s presence and are often organized by peers themselves</w:t>
            </w:r>
            <w:r>
              <w:t>.</w:t>
            </w:r>
          </w:p>
        </w:tc>
      </w:tr>
    </w:tbl>
    <w:p w14:paraId="01DACB9C" w14:textId="77777777" w:rsidR="00A636DB" w:rsidRDefault="00A636DB" w:rsidP="00A636D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E16D29" w14:paraId="6AB58387" w14:textId="77777777" w:rsidTr="005D116E">
        <w:tc>
          <w:tcPr>
            <w:tcW w:w="8996" w:type="dxa"/>
            <w:gridSpan w:val="2"/>
            <w:shd w:val="clear" w:color="auto" w:fill="FFC000" w:themeFill="accent4"/>
            <w:vAlign w:val="center"/>
          </w:tcPr>
          <w:p w14:paraId="4D91BABB" w14:textId="3CA95804" w:rsidR="00E16D29" w:rsidRPr="00E16D29" w:rsidRDefault="0055073D" w:rsidP="00D51B7D">
            <w:pPr>
              <w:pStyle w:val="Heading1"/>
              <w:outlineLvl w:val="0"/>
            </w:pPr>
            <w:bookmarkStart w:id="4" w:name="_Toc44942576"/>
            <w:r>
              <w:lastRenderedPageBreak/>
              <w:t>Action</w:t>
            </w:r>
            <w:r w:rsidR="00E16D29" w:rsidRPr="00E16D29">
              <w:t xml:space="preserve"> 5: Family </w:t>
            </w:r>
            <w:r w:rsidR="00EB6FA7">
              <w:t>s</w:t>
            </w:r>
            <w:r w:rsidR="00E16D29" w:rsidRPr="00E16D29">
              <w:t xml:space="preserve">upport and </w:t>
            </w:r>
            <w:r w:rsidR="00EB6FA7">
              <w:t>e</w:t>
            </w:r>
            <w:r w:rsidR="00E16D29" w:rsidRPr="00E16D29">
              <w:t>ngagement</w:t>
            </w:r>
            <w:bookmarkEnd w:id="4"/>
          </w:p>
        </w:tc>
      </w:tr>
      <w:tr w:rsidR="00E16D29" w14:paraId="48736486" w14:textId="77777777" w:rsidTr="005D116E">
        <w:tc>
          <w:tcPr>
            <w:tcW w:w="1836" w:type="dxa"/>
            <w:shd w:val="clear" w:color="auto" w:fill="FFD966" w:themeFill="accent4" w:themeFillTint="99"/>
            <w:vAlign w:val="center"/>
          </w:tcPr>
          <w:p w14:paraId="5083CBF3" w14:textId="77777777" w:rsidR="00E16D29" w:rsidRPr="008675D5" w:rsidRDefault="00E16D29" w:rsidP="005D116E">
            <w:pPr>
              <w:jc w:val="center"/>
              <w:rPr>
                <w:b/>
                <w:bCs/>
                <w:color w:val="0070C0"/>
              </w:rPr>
            </w:pPr>
            <w:r w:rsidRPr="008675D5">
              <w:rPr>
                <w:b/>
                <w:bCs/>
                <w:color w:val="0070C0"/>
              </w:rPr>
              <w:t>Aim</w:t>
            </w:r>
          </w:p>
        </w:tc>
        <w:tc>
          <w:tcPr>
            <w:tcW w:w="7160" w:type="dxa"/>
            <w:shd w:val="clear" w:color="auto" w:fill="FFFFFF" w:themeFill="background1"/>
          </w:tcPr>
          <w:p w14:paraId="6B34176B" w14:textId="300EC10D" w:rsidR="00E16D29" w:rsidRDefault="00E16D29" w:rsidP="00BF71D5">
            <w:pPr>
              <w:jc w:val="both"/>
            </w:pPr>
            <w:r w:rsidRPr="00C6371B">
              <w:t>To i</w:t>
            </w:r>
            <w:r w:rsidRPr="00C6371B">
              <w:rPr>
                <w:bCs/>
              </w:rPr>
              <w:t xml:space="preserve">ncrease parental/family knowledge </w:t>
            </w:r>
            <w:r w:rsidR="0061747B">
              <w:rPr>
                <w:bCs/>
              </w:rPr>
              <w:t>of</w:t>
            </w:r>
            <w:r w:rsidRPr="00C6371B">
              <w:rPr>
                <w:bCs/>
              </w:rPr>
              <w:t xml:space="preserve"> the curriculum, </w:t>
            </w:r>
            <w:r w:rsidRPr="00C6371B">
              <w:t>education and training</w:t>
            </w:r>
            <w:r w:rsidR="0061747B">
              <w:t xml:space="preserve"> and </w:t>
            </w:r>
            <w:r w:rsidRPr="00C6371B">
              <w:t>promote family engagement in their child’s education and community participation.</w:t>
            </w:r>
          </w:p>
        </w:tc>
      </w:tr>
      <w:tr w:rsidR="00E16D29" w14:paraId="48565314" w14:textId="77777777" w:rsidTr="005D116E">
        <w:tc>
          <w:tcPr>
            <w:tcW w:w="1836" w:type="dxa"/>
            <w:shd w:val="clear" w:color="auto" w:fill="FFD966" w:themeFill="accent4" w:themeFillTint="99"/>
            <w:vAlign w:val="center"/>
          </w:tcPr>
          <w:p w14:paraId="0DE43DE0" w14:textId="77777777" w:rsidR="00E16D29" w:rsidRPr="008675D5" w:rsidRDefault="00E16D29" w:rsidP="005D116E">
            <w:pPr>
              <w:jc w:val="center"/>
              <w:rPr>
                <w:b/>
                <w:bCs/>
                <w:color w:val="0070C0"/>
              </w:rPr>
            </w:pPr>
            <w:r w:rsidRPr="008675D5">
              <w:rPr>
                <w:b/>
                <w:bCs/>
                <w:color w:val="0070C0"/>
              </w:rPr>
              <w:t>Description</w:t>
            </w:r>
          </w:p>
        </w:tc>
        <w:tc>
          <w:tcPr>
            <w:tcW w:w="7160" w:type="dxa"/>
            <w:shd w:val="clear" w:color="auto" w:fill="FFFFFF" w:themeFill="background1"/>
          </w:tcPr>
          <w:p w14:paraId="08268203" w14:textId="628431EC" w:rsidR="00E16D29" w:rsidRDefault="00B12D50" w:rsidP="00BF71D5">
            <w:pPr>
              <w:jc w:val="both"/>
            </w:pPr>
            <w:r>
              <w:t>This strategy focuses on informing</w:t>
            </w:r>
            <w:r w:rsidR="00E16D29" w:rsidRPr="005B6167">
              <w:t xml:space="preserve"> parents about the education choices available for their children and giv</w:t>
            </w:r>
            <w:r>
              <w:t>ing</w:t>
            </w:r>
            <w:r w:rsidR="00E16D29" w:rsidRPr="005B6167">
              <w:t xml:space="preserve"> them tools to support their children’s educational choices. </w:t>
            </w:r>
            <w:r>
              <w:t>Demonstrating</w:t>
            </w:r>
            <w:r w:rsidR="00E16D29" w:rsidRPr="005B6167">
              <w:t xml:space="preserve"> that the education provider cares about and understands the pressures on families </w:t>
            </w:r>
            <w:r w:rsidR="000862F1">
              <w:t>is</w:t>
            </w:r>
            <w:r w:rsidR="00E16D29" w:rsidRPr="005B6167">
              <w:t xml:space="preserve"> key to getting families to engage in their child’s learning. Strategies include</w:t>
            </w:r>
            <w:r w:rsidR="00D4111D">
              <w:t xml:space="preserve">: </w:t>
            </w:r>
            <w:r w:rsidR="00E16D29" w:rsidRPr="005B6167">
              <w:t>demonstrating care towards parents</w:t>
            </w:r>
            <w:r w:rsidR="000862F1">
              <w:t>;</w:t>
            </w:r>
            <w:r w:rsidR="00E16D29" w:rsidRPr="005B6167">
              <w:t xml:space="preserve"> facilitat</w:t>
            </w:r>
            <w:r>
              <w:t>ing</w:t>
            </w:r>
            <w:r w:rsidR="00E16D29" w:rsidRPr="005B6167">
              <w:t xml:space="preserve"> consistent boundary-setting between school and home</w:t>
            </w:r>
            <w:r w:rsidR="000862F1">
              <w:t>;</w:t>
            </w:r>
            <w:r w:rsidR="00E16D29" w:rsidRPr="005B6167">
              <w:t xml:space="preserve"> shar</w:t>
            </w:r>
            <w:r w:rsidR="00535AF7">
              <w:t>ing</w:t>
            </w:r>
            <w:r w:rsidR="00E16D29" w:rsidRPr="005B6167">
              <w:t xml:space="preserve"> young people’s achievements between school and home</w:t>
            </w:r>
            <w:r w:rsidR="00535AF7">
              <w:t>;</w:t>
            </w:r>
            <w:r w:rsidR="00E16D29" w:rsidRPr="005B6167">
              <w:t xml:space="preserve"> promot</w:t>
            </w:r>
            <w:r w:rsidR="00535AF7">
              <w:t>ing</w:t>
            </w:r>
            <w:r w:rsidR="00E16D29" w:rsidRPr="005B6167">
              <w:t xml:space="preserve"> home-visits or communication. Guidance should recognise that most families want to support their children’s learning but do not know how.</w:t>
            </w:r>
          </w:p>
        </w:tc>
      </w:tr>
      <w:tr w:rsidR="00E16D29" w14:paraId="4FE4CC15" w14:textId="77777777" w:rsidTr="005D116E">
        <w:tc>
          <w:tcPr>
            <w:tcW w:w="1836" w:type="dxa"/>
            <w:shd w:val="clear" w:color="auto" w:fill="FFD966" w:themeFill="accent4" w:themeFillTint="99"/>
            <w:vAlign w:val="center"/>
          </w:tcPr>
          <w:p w14:paraId="32BE03A1" w14:textId="77777777" w:rsidR="00E16D29" w:rsidRPr="008675D5" w:rsidRDefault="00E16D29" w:rsidP="005D116E">
            <w:pPr>
              <w:jc w:val="center"/>
              <w:rPr>
                <w:b/>
                <w:bCs/>
                <w:color w:val="0070C0"/>
              </w:rPr>
            </w:pPr>
            <w:r w:rsidRPr="008675D5">
              <w:rPr>
                <w:b/>
                <w:bCs/>
                <w:color w:val="0070C0"/>
              </w:rPr>
              <w:t>Examples</w:t>
            </w:r>
          </w:p>
        </w:tc>
        <w:tc>
          <w:tcPr>
            <w:tcW w:w="7160" w:type="dxa"/>
            <w:shd w:val="clear" w:color="auto" w:fill="FFFFFF" w:themeFill="background1"/>
          </w:tcPr>
          <w:p w14:paraId="0F063DF1" w14:textId="383BB890" w:rsidR="00E16D29" w:rsidRDefault="00E16D29" w:rsidP="00BF71D5">
            <w:pPr>
              <w:pStyle w:val="ListParagraph"/>
              <w:numPr>
                <w:ilvl w:val="0"/>
                <w:numId w:val="1"/>
              </w:numPr>
              <w:jc w:val="both"/>
            </w:pPr>
            <w:r w:rsidRPr="00C9344F">
              <w:rPr>
                <w:b/>
                <w:bCs/>
                <w:color w:val="4472C4" w:themeColor="accent1"/>
              </w:rPr>
              <w:t>P</w:t>
            </w:r>
            <w:r>
              <w:rPr>
                <w:b/>
                <w:bCs/>
                <w:color w:val="4472C4" w:themeColor="accent1"/>
              </w:rPr>
              <w:t>arent</w:t>
            </w:r>
            <w:r w:rsidR="00136096">
              <w:rPr>
                <w:b/>
                <w:bCs/>
                <w:color w:val="4472C4" w:themeColor="accent1"/>
              </w:rPr>
              <w:t>-School</w:t>
            </w:r>
            <w:r>
              <w:rPr>
                <w:b/>
                <w:bCs/>
                <w:color w:val="4472C4" w:themeColor="accent1"/>
              </w:rPr>
              <w:t xml:space="preserve"> </w:t>
            </w:r>
            <w:r w:rsidR="009005B4">
              <w:rPr>
                <w:b/>
                <w:bCs/>
                <w:color w:val="4472C4" w:themeColor="accent1"/>
              </w:rPr>
              <w:t>Connection</w:t>
            </w:r>
            <w:r w:rsidR="00D64F4F">
              <w:rPr>
                <w:b/>
                <w:bCs/>
                <w:color w:val="4472C4" w:themeColor="accent1"/>
              </w:rPr>
              <w:t xml:space="preserve"> Classes</w:t>
            </w:r>
            <w:r>
              <w:rPr>
                <w:b/>
              </w:rPr>
              <w:t>:</w:t>
            </w:r>
            <w:r w:rsidRPr="00C9344F">
              <w:rPr>
                <w:b/>
              </w:rPr>
              <w:t xml:space="preserve"> </w:t>
            </w:r>
            <w:r w:rsidR="0093280D">
              <w:rPr>
                <w:bCs/>
              </w:rPr>
              <w:t>o</w:t>
            </w:r>
            <w:r w:rsidRPr="005B6167">
              <w:t>pportunities for parents to learn new skills, develop positive relationships with the school/other parents, build self-confidence and learn more about the school and the curriculum.</w:t>
            </w:r>
          </w:p>
          <w:p w14:paraId="7D830410" w14:textId="478A362B" w:rsidR="00E16D29" w:rsidRDefault="00E16D29" w:rsidP="00BF71D5">
            <w:pPr>
              <w:pStyle w:val="ListParagraph"/>
              <w:numPr>
                <w:ilvl w:val="0"/>
                <w:numId w:val="1"/>
              </w:numPr>
              <w:jc w:val="both"/>
            </w:pPr>
            <w:r>
              <w:rPr>
                <w:b/>
                <w:bCs/>
                <w:color w:val="4472C4" w:themeColor="accent1"/>
              </w:rPr>
              <w:t xml:space="preserve">Family Support Worker: </w:t>
            </w:r>
            <w:r w:rsidR="009F2AA6" w:rsidRPr="009F2AA6">
              <w:t>a</w:t>
            </w:r>
            <w:r w:rsidRPr="005B6167">
              <w:t xml:space="preserve"> dedicated outreach rol</w:t>
            </w:r>
            <w:r w:rsidR="003A1268">
              <w:t>e</w:t>
            </w:r>
            <w:r w:rsidRPr="005B6167">
              <w:t xml:space="preserve"> where the FSW is familiar with the local community and the barriers that key groups of young people and families face to learning.</w:t>
            </w:r>
            <w:r w:rsidRPr="00426546">
              <w:rPr>
                <w:sz w:val="20"/>
                <w:szCs w:val="20"/>
              </w:rPr>
              <w:t xml:space="preserve"> </w:t>
            </w:r>
          </w:p>
          <w:p w14:paraId="393C0DA9" w14:textId="0D07C3AB" w:rsidR="00E16D29" w:rsidRDefault="00E16D29" w:rsidP="00BF71D5">
            <w:pPr>
              <w:pStyle w:val="ListParagraph"/>
              <w:numPr>
                <w:ilvl w:val="0"/>
                <w:numId w:val="1"/>
              </w:numPr>
              <w:jc w:val="both"/>
            </w:pPr>
            <w:r>
              <w:rPr>
                <w:b/>
                <w:bCs/>
                <w:color w:val="4472C4" w:themeColor="accent1"/>
              </w:rPr>
              <w:t>Child-</w:t>
            </w:r>
            <w:r w:rsidRPr="002D2822">
              <w:rPr>
                <w:b/>
                <w:bCs/>
                <w:color w:val="4472C4" w:themeColor="accent1"/>
              </w:rPr>
              <w:t>family engagement ga</w:t>
            </w:r>
            <w:r>
              <w:rPr>
                <w:b/>
                <w:bCs/>
                <w:color w:val="4472C4" w:themeColor="accent1"/>
              </w:rPr>
              <w:t>m</w:t>
            </w:r>
            <w:r w:rsidRPr="002D2822">
              <w:rPr>
                <w:b/>
                <w:bCs/>
                <w:color w:val="4472C4" w:themeColor="accent1"/>
              </w:rPr>
              <w:t>es:</w:t>
            </w:r>
            <w:r w:rsidRPr="002D2822">
              <w:t xml:space="preserve"> </w:t>
            </w:r>
            <w:r w:rsidR="009D7203">
              <w:t>e</w:t>
            </w:r>
            <w:r w:rsidRPr="002D2822">
              <w:t>xpert-led</w:t>
            </w:r>
            <w:r w:rsidR="008A5566">
              <w:t>,</w:t>
            </w:r>
            <w:r w:rsidRPr="002D2822">
              <w:t xml:space="preserve"> sequential </w:t>
            </w:r>
            <w:r w:rsidRPr="002D2822">
              <w:rPr>
                <w:b/>
              </w:rPr>
              <w:t>c</w:t>
            </w:r>
            <w:r w:rsidRPr="002D2822">
              <w:rPr>
                <w:bCs/>
              </w:rPr>
              <w:t>hallenges</w:t>
            </w:r>
            <w:r w:rsidR="008A5566">
              <w:rPr>
                <w:bCs/>
              </w:rPr>
              <w:t>,</w:t>
            </w:r>
            <w:r w:rsidRPr="002D2822">
              <w:rPr>
                <w:bCs/>
              </w:rPr>
              <w:t xml:space="preserve"> based on rea</w:t>
            </w:r>
            <w:r w:rsidR="007857E9">
              <w:rPr>
                <w:bCs/>
              </w:rPr>
              <w:t>l</w:t>
            </w:r>
            <w:r w:rsidR="00D22A09">
              <w:rPr>
                <w:bCs/>
              </w:rPr>
              <w:t>-</w:t>
            </w:r>
            <w:r w:rsidRPr="002D2822">
              <w:rPr>
                <w:bCs/>
              </w:rPr>
              <w:t>life problems</w:t>
            </w:r>
            <w:r w:rsidR="00E63E39">
              <w:rPr>
                <w:bCs/>
              </w:rPr>
              <w:t xml:space="preserve"> which are </w:t>
            </w:r>
            <w:r w:rsidRPr="002D2822">
              <w:rPr>
                <w:bCs/>
              </w:rPr>
              <w:t>discussed and overcome through collaborative approaches between parents and their children.</w:t>
            </w:r>
            <w:r w:rsidRPr="002D2822">
              <w:rPr>
                <w:bCs/>
                <w:sz w:val="20"/>
                <w:szCs w:val="20"/>
              </w:rPr>
              <w:t xml:space="preserve"> </w:t>
            </w:r>
          </w:p>
        </w:tc>
      </w:tr>
    </w:tbl>
    <w:p w14:paraId="1957E95C" w14:textId="04691CDF" w:rsidR="00C6371B" w:rsidRDefault="00C6371B" w:rsidP="00C6371B"/>
    <w:p w14:paraId="4F855653" w14:textId="77777777" w:rsidR="00726E85" w:rsidRDefault="00726E85" w:rsidP="00D51B7D">
      <w:pPr>
        <w:pStyle w:val="Heading1"/>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E16D29" w14:paraId="0606D615" w14:textId="77777777" w:rsidTr="005D116E">
        <w:tc>
          <w:tcPr>
            <w:tcW w:w="8996" w:type="dxa"/>
            <w:gridSpan w:val="2"/>
            <w:shd w:val="clear" w:color="auto" w:fill="FFC000" w:themeFill="accent4"/>
            <w:vAlign w:val="center"/>
          </w:tcPr>
          <w:p w14:paraId="162AE102" w14:textId="4E07BBFA" w:rsidR="00E16D29" w:rsidRPr="00E16D29" w:rsidRDefault="0055073D" w:rsidP="00D51B7D">
            <w:pPr>
              <w:pStyle w:val="Heading1"/>
              <w:outlineLvl w:val="0"/>
              <w:rPr>
                <w:bCs/>
                <w:color w:val="0070C0"/>
                <w:szCs w:val="28"/>
              </w:rPr>
            </w:pPr>
            <w:bookmarkStart w:id="5" w:name="_Toc44942577"/>
            <w:r>
              <w:rPr>
                <w:bCs/>
                <w:color w:val="0070C0"/>
                <w:szCs w:val="28"/>
              </w:rPr>
              <w:t>Action</w:t>
            </w:r>
            <w:r w:rsidR="0086604E" w:rsidRPr="0086604E">
              <w:rPr>
                <w:bCs/>
                <w:color w:val="0070C0"/>
                <w:szCs w:val="28"/>
              </w:rPr>
              <w:t xml:space="preserve"> 6. Support for </w:t>
            </w:r>
            <w:r w:rsidR="00EB6FA7">
              <w:rPr>
                <w:bCs/>
                <w:color w:val="0070C0"/>
                <w:szCs w:val="28"/>
              </w:rPr>
              <w:t>y</w:t>
            </w:r>
            <w:r w:rsidR="0086604E" w:rsidRPr="0086604E">
              <w:rPr>
                <w:bCs/>
                <w:color w:val="0070C0"/>
                <w:szCs w:val="28"/>
              </w:rPr>
              <w:t>oung people’s learning outside of the formal curriculum</w:t>
            </w:r>
            <w:bookmarkEnd w:id="5"/>
          </w:p>
        </w:tc>
      </w:tr>
      <w:tr w:rsidR="00E16D29" w14:paraId="60F390EF" w14:textId="77777777" w:rsidTr="005D116E">
        <w:tc>
          <w:tcPr>
            <w:tcW w:w="1836" w:type="dxa"/>
            <w:shd w:val="clear" w:color="auto" w:fill="FFD966" w:themeFill="accent4" w:themeFillTint="99"/>
            <w:vAlign w:val="center"/>
          </w:tcPr>
          <w:p w14:paraId="4F4F9AA0" w14:textId="77777777" w:rsidR="00E16D29" w:rsidRPr="008675D5" w:rsidRDefault="00E16D29" w:rsidP="005D116E">
            <w:pPr>
              <w:jc w:val="center"/>
              <w:rPr>
                <w:b/>
                <w:bCs/>
                <w:color w:val="0070C0"/>
              </w:rPr>
            </w:pPr>
            <w:r w:rsidRPr="008675D5">
              <w:rPr>
                <w:b/>
                <w:bCs/>
                <w:color w:val="0070C0"/>
              </w:rPr>
              <w:t>Aim</w:t>
            </w:r>
          </w:p>
        </w:tc>
        <w:tc>
          <w:tcPr>
            <w:tcW w:w="7160" w:type="dxa"/>
            <w:shd w:val="clear" w:color="auto" w:fill="FFFFFF" w:themeFill="background1"/>
          </w:tcPr>
          <w:p w14:paraId="3BEBD267" w14:textId="50882CC3" w:rsidR="00E16D29" w:rsidRPr="0086604E" w:rsidRDefault="0086604E" w:rsidP="00BF71D5">
            <w:pPr>
              <w:jc w:val="both"/>
              <w:rPr>
                <w:bCs/>
              </w:rPr>
            </w:pPr>
            <w:r>
              <w:rPr>
                <w:bCs/>
              </w:rPr>
              <w:t xml:space="preserve">To provide school support for young people’s learning outside of the formal curriculum, </w:t>
            </w:r>
            <w:r w:rsidR="00CA0130">
              <w:rPr>
                <w:bCs/>
              </w:rPr>
              <w:t>either</w:t>
            </w:r>
            <w:r>
              <w:rPr>
                <w:bCs/>
              </w:rPr>
              <w:t xml:space="preserve"> within or outside of the school.</w:t>
            </w:r>
          </w:p>
        </w:tc>
      </w:tr>
      <w:tr w:rsidR="00E16D29" w14:paraId="1722F5C2" w14:textId="77777777" w:rsidTr="005D116E">
        <w:tc>
          <w:tcPr>
            <w:tcW w:w="1836" w:type="dxa"/>
            <w:shd w:val="clear" w:color="auto" w:fill="FFD966" w:themeFill="accent4" w:themeFillTint="99"/>
            <w:vAlign w:val="center"/>
          </w:tcPr>
          <w:p w14:paraId="7B0C00A7" w14:textId="77777777" w:rsidR="00E16D29" w:rsidRPr="008675D5" w:rsidRDefault="00E16D29" w:rsidP="005D116E">
            <w:pPr>
              <w:jc w:val="center"/>
              <w:rPr>
                <w:b/>
                <w:bCs/>
                <w:color w:val="0070C0"/>
              </w:rPr>
            </w:pPr>
            <w:r w:rsidRPr="008675D5">
              <w:rPr>
                <w:b/>
                <w:bCs/>
                <w:color w:val="0070C0"/>
              </w:rPr>
              <w:t>Description</w:t>
            </w:r>
          </w:p>
        </w:tc>
        <w:tc>
          <w:tcPr>
            <w:tcW w:w="7160" w:type="dxa"/>
            <w:shd w:val="clear" w:color="auto" w:fill="FFFFFF" w:themeFill="background1"/>
          </w:tcPr>
          <w:p w14:paraId="16821316" w14:textId="52C21CCC" w:rsidR="00BD476B" w:rsidRDefault="0086604E" w:rsidP="00E260EC">
            <w:pPr>
              <w:jc w:val="both"/>
            </w:pPr>
            <w:r>
              <w:rPr>
                <w:bCs/>
              </w:rPr>
              <w:t>These actions consider the non-academic aspects of children’s learning and development that contribute to school reinforcement (promoting educational values).</w:t>
            </w:r>
            <w:r w:rsidR="00CB08F0">
              <w:rPr>
                <w:bCs/>
              </w:rPr>
              <w:t xml:space="preserve"> They support young people’s integration and </w:t>
            </w:r>
            <w:r>
              <w:rPr>
                <w:bCs/>
              </w:rPr>
              <w:t>aim to combine educational leisure pursuits with school support and the development of core skills. Optimal school support for young people’s learning outside of the formal curriculum requires sustainable alliances between schools and social and educational support organisations. It therefore extends the strictly academic remit of the educational relationship and involves non-formal learning partners.</w:t>
            </w:r>
          </w:p>
        </w:tc>
      </w:tr>
      <w:tr w:rsidR="00E16D29" w14:paraId="38F8C303" w14:textId="77777777" w:rsidTr="005D116E">
        <w:tc>
          <w:tcPr>
            <w:tcW w:w="1836" w:type="dxa"/>
            <w:shd w:val="clear" w:color="auto" w:fill="FFD966" w:themeFill="accent4" w:themeFillTint="99"/>
            <w:vAlign w:val="center"/>
          </w:tcPr>
          <w:p w14:paraId="333AC0E2" w14:textId="77777777" w:rsidR="00E16D29" w:rsidRPr="008675D5" w:rsidRDefault="00E16D29" w:rsidP="005D116E">
            <w:pPr>
              <w:jc w:val="center"/>
              <w:rPr>
                <w:b/>
                <w:bCs/>
                <w:color w:val="0070C0"/>
              </w:rPr>
            </w:pPr>
            <w:r w:rsidRPr="008675D5">
              <w:rPr>
                <w:b/>
                <w:bCs/>
                <w:color w:val="0070C0"/>
              </w:rPr>
              <w:t>Examples</w:t>
            </w:r>
          </w:p>
        </w:tc>
        <w:tc>
          <w:tcPr>
            <w:tcW w:w="7160" w:type="dxa"/>
            <w:shd w:val="clear" w:color="auto" w:fill="FFFFFF" w:themeFill="background1"/>
          </w:tcPr>
          <w:p w14:paraId="0DDDE0DA" w14:textId="32856BFB" w:rsidR="0086604E" w:rsidRDefault="0086604E" w:rsidP="00BF71D5">
            <w:pPr>
              <w:pStyle w:val="ListParagraph"/>
              <w:numPr>
                <w:ilvl w:val="0"/>
                <w:numId w:val="1"/>
              </w:numPr>
              <w:spacing w:line="256" w:lineRule="auto"/>
              <w:jc w:val="both"/>
            </w:pPr>
            <w:r>
              <w:rPr>
                <w:b/>
                <w:bCs/>
                <w:color w:val="4472C4" w:themeColor="accent1"/>
              </w:rPr>
              <w:t xml:space="preserve">Homework club in </w:t>
            </w:r>
            <w:r w:rsidR="005F3DB5">
              <w:rPr>
                <w:b/>
                <w:bCs/>
                <w:color w:val="4472C4" w:themeColor="accent1"/>
              </w:rPr>
              <w:t>s</w:t>
            </w:r>
            <w:r>
              <w:rPr>
                <w:b/>
                <w:bCs/>
                <w:color w:val="4472C4" w:themeColor="accent1"/>
              </w:rPr>
              <w:t>chool</w:t>
            </w:r>
            <w:r>
              <w:rPr>
                <w:b/>
              </w:rPr>
              <w:t>:</w:t>
            </w:r>
            <w:r w:rsidR="009D7203">
              <w:rPr>
                <w:b/>
              </w:rPr>
              <w:t xml:space="preserve"> </w:t>
            </w:r>
            <w:r>
              <w:rPr>
                <w:bCs/>
              </w:rPr>
              <w:t>space for young people to work in a supportive environment outside of school hours, with an adult to advise, signpost resources and information points.</w:t>
            </w:r>
          </w:p>
          <w:p w14:paraId="1407C651" w14:textId="438C4F6E" w:rsidR="0086604E" w:rsidRDefault="0086604E" w:rsidP="00BF71D5">
            <w:pPr>
              <w:pStyle w:val="ListParagraph"/>
              <w:numPr>
                <w:ilvl w:val="0"/>
                <w:numId w:val="1"/>
              </w:numPr>
              <w:spacing w:line="256" w:lineRule="auto"/>
              <w:jc w:val="both"/>
            </w:pPr>
            <w:r>
              <w:rPr>
                <w:b/>
                <w:bCs/>
                <w:color w:val="4472C4" w:themeColor="accent1"/>
              </w:rPr>
              <w:t>Extra-curricular activities:</w:t>
            </w:r>
            <w:r>
              <w:rPr>
                <w:b/>
              </w:rPr>
              <w:t xml:space="preserve"> </w:t>
            </w:r>
            <w:r>
              <w:rPr>
                <w:bCs/>
              </w:rPr>
              <w:t>(e.g. sport, music, arts, language)</w:t>
            </w:r>
            <w:r w:rsidR="004E6511">
              <w:rPr>
                <w:bCs/>
              </w:rPr>
              <w:t xml:space="preserve"> </w:t>
            </w:r>
            <w:r>
              <w:rPr>
                <w:rFonts w:ascii="Courier New" w:hAnsi="Courier New" w:cs="Courier New"/>
                <w:bCs/>
              </w:rPr>
              <w:softHyphen/>
            </w:r>
            <w:r>
              <w:rPr>
                <w:bCs/>
              </w:rPr>
              <w:t>outside of school hours, voluntary, disconnected from formal learning outcomes, and without overloading young people</w:t>
            </w:r>
            <w:r>
              <w:rPr>
                <w:rFonts w:ascii="Courier New" w:hAnsi="Courier New" w:cs="Courier New"/>
                <w:bCs/>
              </w:rPr>
              <w:t>.</w:t>
            </w:r>
          </w:p>
          <w:p w14:paraId="21B85DF2" w14:textId="23FF7752" w:rsidR="00E16D29" w:rsidRDefault="0086604E" w:rsidP="00BF71D5">
            <w:pPr>
              <w:pStyle w:val="ListParagraph"/>
              <w:numPr>
                <w:ilvl w:val="0"/>
                <w:numId w:val="1"/>
              </w:numPr>
              <w:spacing w:line="256" w:lineRule="auto"/>
              <w:jc w:val="both"/>
            </w:pPr>
            <w:r>
              <w:rPr>
                <w:b/>
                <w:bCs/>
                <w:color w:val="4472C4" w:themeColor="accent1"/>
              </w:rPr>
              <w:t>Workshops for study techniques:</w:t>
            </w:r>
            <w:r>
              <w:t xml:space="preserve"> </w:t>
            </w:r>
            <w:r w:rsidR="007712DC">
              <w:rPr>
                <w:bCs/>
              </w:rPr>
              <w:t>to</w:t>
            </w:r>
            <w:r>
              <w:rPr>
                <w:bCs/>
              </w:rPr>
              <w:t xml:space="preserve"> build study habits</w:t>
            </w:r>
            <w:r w:rsidR="003E0501">
              <w:rPr>
                <w:bCs/>
              </w:rPr>
              <w:t xml:space="preserve">, </w:t>
            </w:r>
            <w:r>
              <w:rPr>
                <w:bCs/>
              </w:rPr>
              <w:t>learning techniques</w:t>
            </w:r>
            <w:r w:rsidR="00FB3CD4">
              <w:rPr>
                <w:bCs/>
              </w:rPr>
              <w:t xml:space="preserve"> and</w:t>
            </w:r>
            <w:r>
              <w:rPr>
                <w:bCs/>
              </w:rPr>
              <w:t xml:space="preserve"> tools to improve their learning process and help </w:t>
            </w:r>
            <w:r w:rsidR="00A36778">
              <w:rPr>
                <w:bCs/>
              </w:rPr>
              <w:t xml:space="preserve">them </w:t>
            </w:r>
            <w:r>
              <w:rPr>
                <w:bCs/>
              </w:rPr>
              <w:t>to enjoy their leisure time.</w:t>
            </w:r>
          </w:p>
        </w:tc>
      </w:tr>
    </w:tbl>
    <w:p w14:paraId="426C126B" w14:textId="77777777" w:rsidR="007F7E57" w:rsidRDefault="007F7E57" w:rsidP="00C6371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86604E" w14:paraId="024230AC" w14:textId="77777777" w:rsidTr="00961933">
        <w:tc>
          <w:tcPr>
            <w:tcW w:w="8996" w:type="dxa"/>
            <w:gridSpan w:val="2"/>
            <w:shd w:val="clear" w:color="auto" w:fill="FFC000" w:themeFill="accent4"/>
            <w:vAlign w:val="center"/>
          </w:tcPr>
          <w:p w14:paraId="3972C025" w14:textId="1D6CB6E7" w:rsidR="0086604E" w:rsidRPr="00E16D29" w:rsidRDefault="0055073D" w:rsidP="00D51B7D">
            <w:pPr>
              <w:pStyle w:val="Heading1"/>
              <w:outlineLvl w:val="0"/>
            </w:pPr>
            <w:bookmarkStart w:id="6" w:name="_Toc44942578"/>
            <w:r>
              <w:lastRenderedPageBreak/>
              <w:t>Action</w:t>
            </w:r>
            <w:r w:rsidR="0086604E" w:rsidRPr="0086604E">
              <w:t xml:space="preserve"> 7: Establishing links with</w:t>
            </w:r>
            <w:r w:rsidR="0037788B">
              <w:t>in</w:t>
            </w:r>
            <w:r w:rsidR="0086604E" w:rsidRPr="0086604E">
              <w:t xml:space="preserve"> the wider community</w:t>
            </w:r>
            <w:bookmarkEnd w:id="6"/>
          </w:p>
        </w:tc>
      </w:tr>
      <w:tr w:rsidR="0086604E" w14:paraId="1E3FEBD5" w14:textId="77777777" w:rsidTr="00961933">
        <w:tc>
          <w:tcPr>
            <w:tcW w:w="1836" w:type="dxa"/>
            <w:shd w:val="clear" w:color="auto" w:fill="FFD966" w:themeFill="accent4" w:themeFillTint="99"/>
            <w:vAlign w:val="center"/>
          </w:tcPr>
          <w:p w14:paraId="4051F92C" w14:textId="77777777" w:rsidR="0086604E" w:rsidRPr="008675D5" w:rsidRDefault="0086604E" w:rsidP="00961933">
            <w:pPr>
              <w:jc w:val="center"/>
              <w:rPr>
                <w:b/>
                <w:bCs/>
                <w:color w:val="0070C0"/>
              </w:rPr>
            </w:pPr>
            <w:r w:rsidRPr="008675D5">
              <w:rPr>
                <w:b/>
                <w:bCs/>
                <w:color w:val="0070C0"/>
              </w:rPr>
              <w:t>Aim</w:t>
            </w:r>
          </w:p>
        </w:tc>
        <w:tc>
          <w:tcPr>
            <w:tcW w:w="7160" w:type="dxa"/>
            <w:shd w:val="clear" w:color="auto" w:fill="FFFFFF" w:themeFill="background1"/>
          </w:tcPr>
          <w:p w14:paraId="23D0D9CA" w14:textId="4BED05B9" w:rsidR="0086604E" w:rsidRPr="0086604E" w:rsidRDefault="0086604E" w:rsidP="00BF71D5">
            <w:pPr>
              <w:jc w:val="both"/>
            </w:pPr>
            <w:r>
              <w:rPr>
                <w:rFonts w:cstheme="minorHAnsi"/>
                <w:bCs/>
              </w:rPr>
              <w:t>To improve relations between the educational setting and the local community and environment, with the shared objective of young people’s social and educational development.</w:t>
            </w:r>
          </w:p>
        </w:tc>
      </w:tr>
      <w:tr w:rsidR="0086604E" w14:paraId="69D17200" w14:textId="77777777" w:rsidTr="00961933">
        <w:tc>
          <w:tcPr>
            <w:tcW w:w="1836" w:type="dxa"/>
            <w:shd w:val="clear" w:color="auto" w:fill="FFD966" w:themeFill="accent4" w:themeFillTint="99"/>
            <w:vAlign w:val="center"/>
          </w:tcPr>
          <w:p w14:paraId="15470EDE" w14:textId="77777777" w:rsidR="0086604E" w:rsidRPr="008675D5" w:rsidRDefault="0086604E" w:rsidP="00961933">
            <w:pPr>
              <w:jc w:val="center"/>
              <w:rPr>
                <w:b/>
                <w:bCs/>
                <w:color w:val="0070C0"/>
              </w:rPr>
            </w:pPr>
            <w:r w:rsidRPr="008675D5">
              <w:rPr>
                <w:b/>
                <w:bCs/>
                <w:color w:val="0070C0"/>
              </w:rPr>
              <w:t>Description</w:t>
            </w:r>
          </w:p>
        </w:tc>
        <w:tc>
          <w:tcPr>
            <w:tcW w:w="7160" w:type="dxa"/>
            <w:shd w:val="clear" w:color="auto" w:fill="FFFFFF" w:themeFill="background1"/>
          </w:tcPr>
          <w:p w14:paraId="62120EDF" w14:textId="386F30C6" w:rsidR="0086604E" w:rsidRDefault="0086604E" w:rsidP="00BF71D5">
            <w:pPr>
              <w:jc w:val="both"/>
            </w:pPr>
            <w:r>
              <w:rPr>
                <w:rFonts w:cstheme="minorHAnsi"/>
              </w:rPr>
              <w:t>Building relationships between the educational setting and the local community</w:t>
            </w:r>
            <w:r w:rsidR="00D62954">
              <w:rPr>
                <w:rFonts w:cstheme="minorHAnsi"/>
              </w:rPr>
              <w:t xml:space="preserve"> must </w:t>
            </w:r>
            <w:r w:rsidR="00D01B86">
              <w:rPr>
                <w:rFonts w:cstheme="minorHAnsi"/>
              </w:rPr>
              <w:t>be founded upon</w:t>
            </w:r>
            <w:r>
              <w:rPr>
                <w:rFonts w:cstheme="minorHAnsi"/>
              </w:rPr>
              <w:t xml:space="preserve"> a co-responsibility </w:t>
            </w:r>
            <w:r w:rsidR="00386CD3">
              <w:rPr>
                <w:rFonts w:cstheme="minorHAnsi"/>
              </w:rPr>
              <w:t xml:space="preserve">for </w:t>
            </w:r>
            <w:r w:rsidR="000F63F0">
              <w:rPr>
                <w:rFonts w:cstheme="minorHAnsi"/>
              </w:rPr>
              <w:t>enabling</w:t>
            </w:r>
            <w:r>
              <w:rPr>
                <w:rFonts w:cstheme="minorHAnsi"/>
              </w:rPr>
              <w:t xml:space="preserve"> individual and collective social and educational development. This strategy should involve the active participation of all agents (educators, community citizens and young people) according to shared educational goals. The commitment of educational centres to the local community and to the environment helps to generate a common educational project, in which collectively negotiated values are shared. In this regard, educational centres can be institutions that promote young people’s learning about social and educational inclusion, social justice and democratic values.</w:t>
            </w:r>
          </w:p>
        </w:tc>
      </w:tr>
      <w:tr w:rsidR="0086604E" w14:paraId="107FEAEB" w14:textId="77777777" w:rsidTr="00961933">
        <w:tc>
          <w:tcPr>
            <w:tcW w:w="1836" w:type="dxa"/>
            <w:shd w:val="clear" w:color="auto" w:fill="FFD966" w:themeFill="accent4" w:themeFillTint="99"/>
            <w:vAlign w:val="center"/>
          </w:tcPr>
          <w:p w14:paraId="230F66E8" w14:textId="77777777" w:rsidR="0086604E" w:rsidRPr="008675D5" w:rsidRDefault="0086604E" w:rsidP="00961933">
            <w:pPr>
              <w:jc w:val="center"/>
              <w:rPr>
                <w:b/>
                <w:bCs/>
                <w:color w:val="0070C0"/>
              </w:rPr>
            </w:pPr>
            <w:r w:rsidRPr="008675D5">
              <w:rPr>
                <w:b/>
                <w:bCs/>
                <w:color w:val="0070C0"/>
              </w:rPr>
              <w:t>Examples</w:t>
            </w:r>
          </w:p>
        </w:tc>
        <w:tc>
          <w:tcPr>
            <w:tcW w:w="7160" w:type="dxa"/>
            <w:shd w:val="clear" w:color="auto" w:fill="FFFFFF" w:themeFill="background1"/>
          </w:tcPr>
          <w:p w14:paraId="313629DE" w14:textId="6ED0EB24" w:rsidR="0086604E" w:rsidRDefault="0086604E" w:rsidP="00D4111D">
            <w:pPr>
              <w:pStyle w:val="ListParagraph"/>
              <w:numPr>
                <w:ilvl w:val="0"/>
                <w:numId w:val="1"/>
              </w:numPr>
              <w:spacing w:line="256" w:lineRule="auto"/>
            </w:pPr>
            <w:r>
              <w:rPr>
                <w:b/>
                <w:bCs/>
                <w:color w:val="4472C4" w:themeColor="accent1"/>
              </w:rPr>
              <w:t>Networking</w:t>
            </w:r>
            <w:r>
              <w:rPr>
                <w:b/>
              </w:rPr>
              <w:t>:</w:t>
            </w:r>
            <w:r>
              <w:rPr>
                <w:bCs/>
                <w:i/>
                <w:iCs/>
              </w:rPr>
              <w:t xml:space="preserve"> </w:t>
            </w:r>
            <w:r w:rsidR="00A43BE9">
              <w:rPr>
                <w:bCs/>
              </w:rPr>
              <w:t>s</w:t>
            </w:r>
            <w:r>
              <w:rPr>
                <w:rFonts w:cstheme="minorHAnsi"/>
              </w:rPr>
              <w:t xml:space="preserve">trengthening </w:t>
            </w:r>
            <w:r w:rsidR="00B71F14">
              <w:rPr>
                <w:rFonts w:cstheme="minorHAnsi"/>
              </w:rPr>
              <w:t xml:space="preserve">interpersonal </w:t>
            </w:r>
            <w:r>
              <w:rPr>
                <w:rFonts w:cstheme="minorHAnsi"/>
              </w:rPr>
              <w:t xml:space="preserve">networks </w:t>
            </w:r>
            <w:r w:rsidR="00056069">
              <w:rPr>
                <w:rFonts w:cstheme="minorHAnsi"/>
              </w:rPr>
              <w:t xml:space="preserve">between </w:t>
            </w:r>
            <w:r>
              <w:rPr>
                <w:rFonts w:cstheme="minorHAnsi"/>
              </w:rPr>
              <w:t>peers, educational associations or organisations</w:t>
            </w:r>
            <w:r w:rsidR="00A86EDD">
              <w:rPr>
                <w:rFonts w:cstheme="minorHAnsi"/>
              </w:rPr>
              <w:t xml:space="preserve"> (</w:t>
            </w:r>
            <w:r>
              <w:rPr>
                <w:rFonts w:cstheme="minorHAnsi"/>
              </w:rPr>
              <w:t>internal or external to the educational centre</w:t>
            </w:r>
            <w:r w:rsidR="00A86EDD">
              <w:rPr>
                <w:rFonts w:cstheme="minorHAnsi"/>
              </w:rPr>
              <w:t>) and</w:t>
            </w:r>
            <w:r>
              <w:rPr>
                <w:rFonts w:cstheme="minorHAnsi"/>
              </w:rPr>
              <w:t xml:space="preserve"> local services.</w:t>
            </w:r>
          </w:p>
          <w:p w14:paraId="05F108E3" w14:textId="5469867C" w:rsidR="0086604E" w:rsidRDefault="0086604E" w:rsidP="00BF71D5">
            <w:pPr>
              <w:pStyle w:val="ListParagraph"/>
              <w:numPr>
                <w:ilvl w:val="0"/>
                <w:numId w:val="1"/>
              </w:numPr>
              <w:spacing w:line="256" w:lineRule="auto"/>
              <w:jc w:val="both"/>
            </w:pPr>
            <w:r>
              <w:rPr>
                <w:b/>
                <w:bCs/>
                <w:color w:val="4472C4" w:themeColor="accent1"/>
              </w:rPr>
              <w:t>Study visits:</w:t>
            </w:r>
            <w:r>
              <w:rPr>
                <w:b/>
              </w:rPr>
              <w:t xml:space="preserve"> </w:t>
            </w:r>
            <w:r w:rsidR="00A86EDD">
              <w:rPr>
                <w:bCs/>
              </w:rPr>
              <w:t>visiting</w:t>
            </w:r>
            <w:r>
              <w:rPr>
                <w:bCs/>
              </w:rPr>
              <w:t xml:space="preserve"> local companies, institutions, employers where students can have direct contact with the local labour market.</w:t>
            </w:r>
          </w:p>
          <w:p w14:paraId="783125B1" w14:textId="3F02D7CC" w:rsidR="0086604E" w:rsidRDefault="0086604E" w:rsidP="00BF71D5">
            <w:pPr>
              <w:pStyle w:val="ListParagraph"/>
              <w:numPr>
                <w:ilvl w:val="0"/>
                <w:numId w:val="1"/>
              </w:numPr>
              <w:spacing w:line="256" w:lineRule="auto"/>
              <w:jc w:val="both"/>
            </w:pPr>
            <w:r>
              <w:rPr>
                <w:b/>
                <w:bCs/>
                <w:color w:val="4472C4" w:themeColor="accent1"/>
              </w:rPr>
              <w:t xml:space="preserve">Work-skills sessions with local employers: </w:t>
            </w:r>
            <w:r>
              <w:rPr>
                <w:bCs/>
              </w:rPr>
              <w:t>to highlight the importance of key skills, academic qualifications and educational/ training experiences for the local labour market</w:t>
            </w:r>
            <w:r>
              <w:rPr>
                <w:bCs/>
                <w:sz w:val="20"/>
                <w:szCs w:val="20"/>
              </w:rPr>
              <w:t>.</w:t>
            </w:r>
          </w:p>
        </w:tc>
      </w:tr>
    </w:tbl>
    <w:p w14:paraId="591C7131" w14:textId="332F40E4" w:rsidR="00C6371B" w:rsidRDefault="00C6371B" w:rsidP="00C6371B"/>
    <w:p w14:paraId="7C3CBB39" w14:textId="40E77F87" w:rsidR="00424051" w:rsidRDefault="00424051" w:rsidP="004240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86604E" w14:paraId="5E4E58AA" w14:textId="77777777" w:rsidTr="00961933">
        <w:tc>
          <w:tcPr>
            <w:tcW w:w="8996" w:type="dxa"/>
            <w:gridSpan w:val="2"/>
            <w:shd w:val="clear" w:color="auto" w:fill="FFC000" w:themeFill="accent4"/>
            <w:vAlign w:val="center"/>
          </w:tcPr>
          <w:p w14:paraId="444676F4" w14:textId="7A9B6E5D" w:rsidR="0086604E" w:rsidRPr="00E16D29" w:rsidRDefault="0055073D" w:rsidP="00D51B7D">
            <w:pPr>
              <w:pStyle w:val="Heading1"/>
              <w:outlineLvl w:val="0"/>
            </w:pPr>
            <w:bookmarkStart w:id="7" w:name="_Toc44942579"/>
            <w:r>
              <w:t>Action</w:t>
            </w:r>
            <w:r w:rsidR="0086604E" w:rsidRPr="0086604E">
              <w:t xml:space="preserve"> 8: </w:t>
            </w:r>
            <w:r w:rsidR="0037788B">
              <w:t>Learning Pathway and Careers Guidance</w:t>
            </w:r>
            <w:bookmarkEnd w:id="7"/>
          </w:p>
        </w:tc>
      </w:tr>
      <w:tr w:rsidR="0086604E" w14:paraId="201969E1" w14:textId="77777777" w:rsidTr="00961933">
        <w:tc>
          <w:tcPr>
            <w:tcW w:w="1836" w:type="dxa"/>
            <w:shd w:val="clear" w:color="auto" w:fill="FFD966" w:themeFill="accent4" w:themeFillTint="99"/>
            <w:vAlign w:val="center"/>
          </w:tcPr>
          <w:p w14:paraId="7EAC4C6B" w14:textId="77777777" w:rsidR="0086604E" w:rsidRPr="008675D5" w:rsidRDefault="0086604E" w:rsidP="00961933">
            <w:pPr>
              <w:jc w:val="center"/>
              <w:rPr>
                <w:b/>
                <w:bCs/>
                <w:color w:val="0070C0"/>
              </w:rPr>
            </w:pPr>
            <w:r w:rsidRPr="008675D5">
              <w:rPr>
                <w:b/>
                <w:bCs/>
                <w:color w:val="0070C0"/>
              </w:rPr>
              <w:t>Aim</w:t>
            </w:r>
          </w:p>
        </w:tc>
        <w:tc>
          <w:tcPr>
            <w:tcW w:w="7160" w:type="dxa"/>
            <w:shd w:val="clear" w:color="auto" w:fill="FFFFFF" w:themeFill="background1"/>
          </w:tcPr>
          <w:p w14:paraId="32FC9CD5" w14:textId="69DC7A4E" w:rsidR="0086604E" w:rsidRPr="0086604E" w:rsidRDefault="0086604E" w:rsidP="00BF71D5">
            <w:pPr>
              <w:jc w:val="both"/>
            </w:pPr>
            <w:r>
              <w:t>Supporting motivated</w:t>
            </w:r>
            <w:r w:rsidR="004879E4">
              <w:t xml:space="preserve">, </w:t>
            </w:r>
            <w:r>
              <w:t>informed career-choices and flexible education routes that enable young people to adapt their learning pathway into the labour market to their interests and abilities.</w:t>
            </w:r>
          </w:p>
        </w:tc>
      </w:tr>
      <w:tr w:rsidR="0086604E" w14:paraId="05117DD4" w14:textId="77777777" w:rsidTr="00961933">
        <w:tc>
          <w:tcPr>
            <w:tcW w:w="1836" w:type="dxa"/>
            <w:shd w:val="clear" w:color="auto" w:fill="FFD966" w:themeFill="accent4" w:themeFillTint="99"/>
            <w:vAlign w:val="center"/>
          </w:tcPr>
          <w:p w14:paraId="09FF8FB1" w14:textId="77777777" w:rsidR="0086604E" w:rsidRPr="008675D5" w:rsidRDefault="0086604E" w:rsidP="00961933">
            <w:pPr>
              <w:jc w:val="center"/>
              <w:rPr>
                <w:b/>
                <w:bCs/>
                <w:color w:val="0070C0"/>
              </w:rPr>
            </w:pPr>
            <w:r w:rsidRPr="008675D5">
              <w:rPr>
                <w:b/>
                <w:bCs/>
                <w:color w:val="0070C0"/>
              </w:rPr>
              <w:t>Description</w:t>
            </w:r>
          </w:p>
        </w:tc>
        <w:tc>
          <w:tcPr>
            <w:tcW w:w="7160" w:type="dxa"/>
            <w:shd w:val="clear" w:color="auto" w:fill="FFFFFF" w:themeFill="background1"/>
          </w:tcPr>
          <w:p w14:paraId="2C38408F" w14:textId="7AAB08E3" w:rsidR="0086604E" w:rsidRPr="0086604E" w:rsidRDefault="0086604E" w:rsidP="00BF71D5">
            <w:pPr>
              <w:jc w:val="both"/>
              <w:rPr>
                <w:rFonts w:ascii="Calibri" w:eastAsia="Times New Roman" w:hAnsi="Calibri" w:cs="Calibri"/>
                <w:color w:val="000000"/>
                <w:bdr w:val="none" w:sz="0" w:space="0" w:color="auto" w:frame="1"/>
                <w:lang w:eastAsia="es-ES"/>
              </w:rPr>
            </w:pPr>
            <w:r>
              <w:rPr>
                <w:rFonts w:ascii="Calibri" w:eastAsia="Times New Roman" w:hAnsi="Calibri" w:cs="Calibri"/>
                <w:color w:val="000000"/>
                <w:bdr w:val="none" w:sz="0" w:space="0" w:color="auto" w:frame="1"/>
                <w:lang w:eastAsia="es-ES"/>
              </w:rPr>
              <w:t xml:space="preserve">Curriculum guidance for the labour market consists of structured developmental experiences presented systematically through classroom and small group activities for students. It is closely related to career guidance through activities that aim to support individuals to make educational, training and occupational choices that match their personal characteristics (e.g. strengths, learning style, etc.). It also involves </w:t>
            </w:r>
            <w:r w:rsidR="00A47280">
              <w:rPr>
                <w:rFonts w:ascii="Calibri" w:eastAsia="Times New Roman" w:hAnsi="Calibri" w:cs="Calibri"/>
                <w:i/>
                <w:iCs/>
                <w:color w:val="000000"/>
                <w:bdr w:val="none" w:sz="0" w:space="0" w:color="auto" w:frame="1"/>
                <w:lang w:eastAsia="es-ES"/>
              </w:rPr>
              <w:t>f</w:t>
            </w:r>
            <w:r>
              <w:rPr>
                <w:rFonts w:ascii="Calibri" w:eastAsia="Times New Roman" w:hAnsi="Calibri" w:cs="Calibri"/>
                <w:i/>
                <w:iCs/>
                <w:color w:val="000000"/>
                <w:bdr w:val="none" w:sz="0" w:space="0" w:color="auto" w:frame="1"/>
                <w:lang w:eastAsia="es-ES"/>
              </w:rPr>
              <w:t xml:space="preserve">lexible education and training, </w:t>
            </w:r>
            <w:r>
              <w:rPr>
                <w:rFonts w:ascii="Calibri" w:eastAsia="Times New Roman" w:hAnsi="Calibri" w:cs="Calibri"/>
                <w:color w:val="000000"/>
                <w:bdr w:val="none" w:sz="0" w:space="0" w:color="auto" w:frame="1"/>
                <w:lang w:eastAsia="es-ES"/>
              </w:rPr>
              <w:t>which</w:t>
            </w:r>
            <w:r>
              <w:rPr>
                <w:rFonts w:ascii="Calibri" w:eastAsia="Times New Roman" w:hAnsi="Calibri" w:cs="Calibri"/>
                <w:i/>
                <w:iCs/>
                <w:color w:val="000000"/>
                <w:bdr w:val="none" w:sz="0" w:space="0" w:color="auto" w:frame="1"/>
                <w:lang w:eastAsia="es-ES"/>
              </w:rPr>
              <w:t xml:space="preserve"> </w:t>
            </w:r>
            <w:r>
              <w:rPr>
                <w:rFonts w:ascii="Calibri" w:eastAsia="Times New Roman" w:hAnsi="Calibri" w:cs="Calibri"/>
                <w:color w:val="000000"/>
                <w:bdr w:val="none" w:sz="0" w:space="0" w:color="auto" w:frame="1"/>
                <w:lang w:eastAsia="es-ES"/>
              </w:rPr>
              <w:t xml:space="preserve">refers to the provision of educational and training choices to young people and not closing doors. Careers guidance and flexible education requires the involvement of the Educational Administration. </w:t>
            </w:r>
          </w:p>
        </w:tc>
      </w:tr>
      <w:tr w:rsidR="0086604E" w14:paraId="667A4074" w14:textId="77777777" w:rsidTr="00961933">
        <w:tc>
          <w:tcPr>
            <w:tcW w:w="1836" w:type="dxa"/>
            <w:shd w:val="clear" w:color="auto" w:fill="FFD966" w:themeFill="accent4" w:themeFillTint="99"/>
            <w:vAlign w:val="center"/>
          </w:tcPr>
          <w:p w14:paraId="0B14D342" w14:textId="77777777" w:rsidR="0086604E" w:rsidRPr="008675D5" w:rsidRDefault="0086604E" w:rsidP="00961933">
            <w:pPr>
              <w:jc w:val="center"/>
              <w:rPr>
                <w:b/>
                <w:bCs/>
                <w:color w:val="0070C0"/>
              </w:rPr>
            </w:pPr>
            <w:r w:rsidRPr="008675D5">
              <w:rPr>
                <w:b/>
                <w:bCs/>
                <w:color w:val="0070C0"/>
              </w:rPr>
              <w:t>Examples</w:t>
            </w:r>
          </w:p>
        </w:tc>
        <w:tc>
          <w:tcPr>
            <w:tcW w:w="7160" w:type="dxa"/>
            <w:shd w:val="clear" w:color="auto" w:fill="FFFFFF" w:themeFill="background1"/>
          </w:tcPr>
          <w:p w14:paraId="631EE00D" w14:textId="60D3995C" w:rsidR="0086604E" w:rsidRDefault="0086604E" w:rsidP="00D4111D">
            <w:pPr>
              <w:pStyle w:val="ListParagraph"/>
              <w:numPr>
                <w:ilvl w:val="0"/>
                <w:numId w:val="1"/>
              </w:numPr>
              <w:spacing w:line="256" w:lineRule="auto"/>
            </w:pPr>
            <w:r>
              <w:rPr>
                <w:b/>
                <w:bCs/>
                <w:color w:val="4472C4" w:themeColor="accent1"/>
              </w:rPr>
              <w:t>Rubber boundaries</w:t>
            </w:r>
            <w:r>
              <w:rPr>
                <w:b/>
              </w:rPr>
              <w:t>:</w:t>
            </w:r>
            <w:r>
              <w:rPr>
                <w:bCs/>
                <w:i/>
                <w:iCs/>
              </w:rPr>
              <w:t xml:space="preserve"> </w:t>
            </w:r>
            <w:r w:rsidR="00372909">
              <w:rPr>
                <w:bCs/>
              </w:rPr>
              <w:t>b</w:t>
            </w:r>
            <w:r>
              <w:rPr>
                <w:rFonts w:cstheme="minorHAnsi"/>
              </w:rPr>
              <w:t xml:space="preserve">ehavioural management systems that can accommodate individual challenges, including </w:t>
            </w:r>
            <w:r>
              <w:t>alternative arrangements to suspension or expulsion from school (e.g. managed moves)</w:t>
            </w:r>
          </w:p>
          <w:p w14:paraId="328649DC" w14:textId="5094CB67" w:rsidR="0086604E" w:rsidRDefault="0086604E" w:rsidP="00D4111D">
            <w:pPr>
              <w:pStyle w:val="ListParagraph"/>
              <w:numPr>
                <w:ilvl w:val="0"/>
                <w:numId w:val="1"/>
              </w:numPr>
              <w:spacing w:line="256" w:lineRule="auto"/>
            </w:pPr>
            <w:r>
              <w:rPr>
                <w:b/>
                <w:bCs/>
                <w:color w:val="4472C4" w:themeColor="accent1"/>
              </w:rPr>
              <w:t>Quality assurance on Vocational Education and Training:</w:t>
            </w:r>
            <w:r>
              <w:rPr>
                <w:b/>
              </w:rPr>
              <w:t xml:space="preserve"> </w:t>
            </w:r>
            <w:r w:rsidR="00372909">
              <w:rPr>
                <w:b/>
              </w:rPr>
              <w:t>e</w:t>
            </w:r>
            <w:r>
              <w:rPr>
                <w:bCs/>
              </w:rPr>
              <w:t>nsure that local VET pathways can lead to progression.</w:t>
            </w:r>
          </w:p>
          <w:p w14:paraId="2DF68C89" w14:textId="3C610C94" w:rsidR="0086604E" w:rsidRDefault="0086604E" w:rsidP="00D4111D">
            <w:pPr>
              <w:pStyle w:val="ListParagraph"/>
              <w:numPr>
                <w:ilvl w:val="0"/>
                <w:numId w:val="1"/>
              </w:numPr>
              <w:spacing w:line="256" w:lineRule="auto"/>
            </w:pPr>
            <w:r>
              <w:rPr>
                <w:b/>
                <w:bCs/>
                <w:color w:val="4472C4" w:themeColor="accent1"/>
              </w:rPr>
              <w:t xml:space="preserve">Second chance measures: </w:t>
            </w:r>
            <w:r w:rsidR="00372909" w:rsidRPr="00D4111D">
              <w:t>o</w:t>
            </w:r>
            <w:r>
              <w:rPr>
                <w:bCs/>
              </w:rPr>
              <w:t>pportunities to return to mainstream education having previously ‘dropped out’.</w:t>
            </w:r>
          </w:p>
        </w:tc>
      </w:tr>
    </w:tbl>
    <w:p w14:paraId="2CE3F824" w14:textId="3C4E6DFC" w:rsidR="00424051" w:rsidRDefault="00424051" w:rsidP="004240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D51B7D" w14:paraId="65FF0BA7" w14:textId="77777777" w:rsidTr="00A31528">
        <w:tc>
          <w:tcPr>
            <w:tcW w:w="8996" w:type="dxa"/>
            <w:gridSpan w:val="2"/>
            <w:shd w:val="clear" w:color="auto" w:fill="FFC000" w:themeFill="accent4"/>
            <w:vAlign w:val="center"/>
          </w:tcPr>
          <w:p w14:paraId="390A94E6" w14:textId="53E51023" w:rsidR="00D51B7D" w:rsidRPr="00E16D29" w:rsidRDefault="0055073D" w:rsidP="00A31528">
            <w:pPr>
              <w:pStyle w:val="Heading1"/>
              <w:outlineLvl w:val="0"/>
            </w:pPr>
            <w:bookmarkStart w:id="8" w:name="_Toc44942580"/>
            <w:r>
              <w:lastRenderedPageBreak/>
              <w:t>Action</w:t>
            </w:r>
            <w:r w:rsidR="00D51B7D" w:rsidRPr="0086604E">
              <w:t xml:space="preserve"> 9: Responsive crisis resolution for young people</w:t>
            </w:r>
            <w:bookmarkEnd w:id="8"/>
          </w:p>
        </w:tc>
      </w:tr>
      <w:tr w:rsidR="00D51B7D" w14:paraId="4E5DD436" w14:textId="77777777" w:rsidTr="00A31528">
        <w:tc>
          <w:tcPr>
            <w:tcW w:w="1836" w:type="dxa"/>
            <w:shd w:val="clear" w:color="auto" w:fill="FFD966" w:themeFill="accent4" w:themeFillTint="99"/>
            <w:vAlign w:val="center"/>
          </w:tcPr>
          <w:p w14:paraId="046EE62E" w14:textId="77777777" w:rsidR="00D51B7D" w:rsidRPr="008675D5" w:rsidRDefault="00D51B7D" w:rsidP="00A31528">
            <w:pPr>
              <w:jc w:val="center"/>
              <w:rPr>
                <w:b/>
                <w:bCs/>
                <w:color w:val="0070C0"/>
              </w:rPr>
            </w:pPr>
            <w:r w:rsidRPr="008675D5">
              <w:rPr>
                <w:b/>
                <w:bCs/>
                <w:color w:val="0070C0"/>
              </w:rPr>
              <w:t>Aim</w:t>
            </w:r>
          </w:p>
        </w:tc>
        <w:tc>
          <w:tcPr>
            <w:tcW w:w="7160" w:type="dxa"/>
            <w:shd w:val="clear" w:color="auto" w:fill="FFFFFF" w:themeFill="background1"/>
          </w:tcPr>
          <w:p w14:paraId="2D812464" w14:textId="77777777" w:rsidR="00D51B7D" w:rsidRPr="0086604E" w:rsidRDefault="00D51B7D" w:rsidP="00A31528">
            <w:pPr>
              <w:jc w:val="both"/>
            </w:pPr>
            <w:r>
              <w:t>Services that respond to the causes and consequences of young peoples’ disruptive behaviours through individual therapeutic support for children’s emotional wellbeing.</w:t>
            </w:r>
          </w:p>
        </w:tc>
      </w:tr>
      <w:tr w:rsidR="00D51B7D" w14:paraId="7C0D9B07" w14:textId="77777777" w:rsidTr="00A31528">
        <w:tc>
          <w:tcPr>
            <w:tcW w:w="1836" w:type="dxa"/>
            <w:shd w:val="clear" w:color="auto" w:fill="FFD966" w:themeFill="accent4" w:themeFillTint="99"/>
            <w:vAlign w:val="center"/>
          </w:tcPr>
          <w:p w14:paraId="00A30B31" w14:textId="77777777" w:rsidR="00D51B7D" w:rsidRPr="008675D5" w:rsidRDefault="00D51B7D" w:rsidP="00A31528">
            <w:pPr>
              <w:jc w:val="center"/>
              <w:rPr>
                <w:b/>
                <w:bCs/>
                <w:color w:val="0070C0"/>
              </w:rPr>
            </w:pPr>
            <w:r w:rsidRPr="008675D5">
              <w:rPr>
                <w:b/>
                <w:bCs/>
                <w:color w:val="0070C0"/>
              </w:rPr>
              <w:t>Description</w:t>
            </w:r>
          </w:p>
        </w:tc>
        <w:tc>
          <w:tcPr>
            <w:tcW w:w="7160" w:type="dxa"/>
            <w:shd w:val="clear" w:color="auto" w:fill="FFFFFF" w:themeFill="background1"/>
          </w:tcPr>
          <w:p w14:paraId="09F0F5AD" w14:textId="77777777" w:rsidR="00D51B7D" w:rsidRPr="0086604E" w:rsidRDefault="00D51B7D" w:rsidP="00A31528">
            <w:pPr>
              <w:jc w:val="both"/>
            </w:pPr>
            <w:r>
              <w:t xml:space="preserve">Responsive crisis resolution services are short-term counselling interventions to resolve immediate conflicts/problems, respond to crisis events, and intervene in school-specific situations that disrupt learning. School staff, parents/family, community members and students can initiate responsive services. Responsive services can also contribute to alternative learning arrangements preferential to out-of-school suspension and expulsion. They should be combined with measures to promote behavioural change and allow the student to continue academic instruction. Procedures should ideally be orientated to supporting behaviour or emotional wellbeing </w:t>
            </w:r>
            <w:proofErr w:type="gramStart"/>
            <w:r>
              <w:t>in order to</w:t>
            </w:r>
            <w:proofErr w:type="gramEnd"/>
            <w:r>
              <w:t xml:space="preserve"> enable return to the regular classroom (not be a long-term solution).</w:t>
            </w:r>
          </w:p>
        </w:tc>
      </w:tr>
      <w:tr w:rsidR="00D51B7D" w14:paraId="6B6699F1" w14:textId="77777777" w:rsidTr="00A31528">
        <w:tc>
          <w:tcPr>
            <w:tcW w:w="1836" w:type="dxa"/>
            <w:shd w:val="clear" w:color="auto" w:fill="FFD966" w:themeFill="accent4" w:themeFillTint="99"/>
            <w:vAlign w:val="center"/>
          </w:tcPr>
          <w:p w14:paraId="31015531" w14:textId="77777777" w:rsidR="00D51B7D" w:rsidRPr="008675D5" w:rsidRDefault="00D51B7D" w:rsidP="00A31528">
            <w:pPr>
              <w:jc w:val="center"/>
              <w:rPr>
                <w:b/>
                <w:bCs/>
                <w:color w:val="0070C0"/>
              </w:rPr>
            </w:pPr>
            <w:r w:rsidRPr="008675D5">
              <w:rPr>
                <w:b/>
                <w:bCs/>
                <w:color w:val="0070C0"/>
              </w:rPr>
              <w:t>Examples</w:t>
            </w:r>
          </w:p>
        </w:tc>
        <w:tc>
          <w:tcPr>
            <w:tcW w:w="7160" w:type="dxa"/>
            <w:shd w:val="clear" w:color="auto" w:fill="FFFFFF" w:themeFill="background1"/>
          </w:tcPr>
          <w:p w14:paraId="1B2DFB6A" w14:textId="77777777" w:rsidR="00D51B7D" w:rsidRDefault="00D51B7D" w:rsidP="00A31528">
            <w:pPr>
              <w:pStyle w:val="ListParagraph"/>
              <w:numPr>
                <w:ilvl w:val="0"/>
                <w:numId w:val="1"/>
              </w:numPr>
              <w:spacing w:line="256" w:lineRule="auto"/>
              <w:jc w:val="both"/>
            </w:pPr>
            <w:r>
              <w:rPr>
                <w:b/>
                <w:bCs/>
                <w:color w:val="4472C4" w:themeColor="accent1"/>
              </w:rPr>
              <w:t xml:space="preserve">Courses to promote </w:t>
            </w:r>
            <w:proofErr w:type="gramStart"/>
            <w:r>
              <w:rPr>
                <w:b/>
                <w:bCs/>
                <w:color w:val="4472C4" w:themeColor="accent1"/>
              </w:rPr>
              <w:t>social  and</w:t>
            </w:r>
            <w:proofErr w:type="gramEnd"/>
            <w:r>
              <w:rPr>
                <w:b/>
                <w:bCs/>
                <w:color w:val="4472C4" w:themeColor="accent1"/>
              </w:rPr>
              <w:t xml:space="preserve"> emotional skills</w:t>
            </w:r>
            <w:r>
              <w:rPr>
                <w:b/>
              </w:rPr>
              <w:t>:</w:t>
            </w:r>
            <w:r>
              <w:rPr>
                <w:bCs/>
              </w:rPr>
              <w:t xml:space="preserve"> topics could include: </w:t>
            </w:r>
            <w:r>
              <w:t>conflict resolution, gender discrimination, sexual harassment, alcohol/drug use, inappropriate language.</w:t>
            </w:r>
          </w:p>
          <w:p w14:paraId="4E12D757" w14:textId="77777777" w:rsidR="00D51B7D" w:rsidRDefault="00D51B7D" w:rsidP="00A31528">
            <w:pPr>
              <w:pStyle w:val="ListParagraph"/>
              <w:numPr>
                <w:ilvl w:val="0"/>
                <w:numId w:val="1"/>
              </w:numPr>
              <w:spacing w:line="256" w:lineRule="auto"/>
              <w:jc w:val="both"/>
            </w:pPr>
            <w:r>
              <w:rPr>
                <w:b/>
                <w:bCs/>
                <w:color w:val="4472C4" w:themeColor="accent1"/>
              </w:rPr>
              <w:t xml:space="preserve">Restorative justice or mediation approaches to social relational challenges or </w:t>
            </w:r>
            <w:proofErr w:type="gramStart"/>
            <w:r>
              <w:rPr>
                <w:b/>
                <w:bCs/>
                <w:color w:val="4472C4" w:themeColor="accent1"/>
              </w:rPr>
              <w:t>bullying</w:t>
            </w:r>
            <w:r>
              <w:rPr>
                <w:bCs/>
                <w:i/>
                <w:iCs/>
              </w:rPr>
              <w:t>:</w:t>
            </w:r>
            <w:proofErr w:type="gramEnd"/>
            <w:r>
              <w:rPr>
                <w:bCs/>
              </w:rPr>
              <w:t xml:space="preserve"> working with young people to aid their communication in response to social issues.   </w:t>
            </w:r>
          </w:p>
          <w:p w14:paraId="43DC0989" w14:textId="77777777" w:rsidR="00D51B7D" w:rsidRDefault="00D51B7D" w:rsidP="00A31528">
            <w:pPr>
              <w:pStyle w:val="ListParagraph"/>
              <w:numPr>
                <w:ilvl w:val="0"/>
                <w:numId w:val="1"/>
              </w:numPr>
              <w:spacing w:line="256" w:lineRule="auto"/>
              <w:jc w:val="both"/>
            </w:pPr>
            <w:r>
              <w:rPr>
                <w:b/>
                <w:bCs/>
                <w:color w:val="4472C4" w:themeColor="accent1"/>
              </w:rPr>
              <w:t xml:space="preserve">Short-term counselling for specific events or circumstances: </w:t>
            </w:r>
            <w:r>
              <w:rPr>
                <w:rFonts w:ascii="Calibri" w:eastAsia="Times New Roman" w:hAnsi="Calibri" w:cs="Calibri"/>
                <w:color w:val="000000"/>
                <w:bdr w:val="none" w:sz="0" w:space="0" w:color="auto" w:frame="1"/>
                <w:lang w:eastAsia="en-GB"/>
              </w:rPr>
              <w:t>for example, for family separation and reconstituted families, eating disorders, and addictions.</w:t>
            </w:r>
            <w:r>
              <w:rPr>
                <w:rFonts w:ascii="Calibri" w:eastAsia="Times New Roman" w:hAnsi="Calibri" w:cs="Calibri"/>
                <w:color w:val="000000"/>
                <w:sz w:val="24"/>
                <w:szCs w:val="24"/>
                <w:bdr w:val="none" w:sz="0" w:space="0" w:color="auto" w:frame="1"/>
                <w:lang w:eastAsia="en-GB"/>
              </w:rPr>
              <w:t xml:space="preserve"> </w:t>
            </w:r>
          </w:p>
        </w:tc>
      </w:tr>
    </w:tbl>
    <w:p w14:paraId="210E34C1" w14:textId="77777777" w:rsidR="00D51B7D" w:rsidRDefault="00D51B7D" w:rsidP="00424051"/>
    <w:p w14:paraId="021C76DC" w14:textId="77777777" w:rsidR="00726E85" w:rsidRDefault="00726E85" w:rsidP="004240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86604E" w14:paraId="2D5F22DD" w14:textId="77777777" w:rsidTr="00961933">
        <w:tc>
          <w:tcPr>
            <w:tcW w:w="8996" w:type="dxa"/>
            <w:gridSpan w:val="2"/>
            <w:shd w:val="clear" w:color="auto" w:fill="FFC000" w:themeFill="accent4"/>
            <w:vAlign w:val="center"/>
          </w:tcPr>
          <w:p w14:paraId="474E9962" w14:textId="12387E47" w:rsidR="0086604E" w:rsidRPr="00E16D29" w:rsidRDefault="0055073D" w:rsidP="00D51B7D">
            <w:pPr>
              <w:pStyle w:val="Heading1"/>
              <w:outlineLvl w:val="0"/>
            </w:pPr>
            <w:bookmarkStart w:id="9" w:name="_Toc44942581"/>
            <w:r>
              <w:t>Action</w:t>
            </w:r>
            <w:r w:rsidR="0086604E" w:rsidRPr="0086604E">
              <w:t xml:space="preserve"> 10: </w:t>
            </w:r>
            <w:r w:rsidR="00D85AC9">
              <w:t>Improving teaching practice: inclusive and participatory pedagogy</w:t>
            </w:r>
            <w:bookmarkEnd w:id="9"/>
          </w:p>
        </w:tc>
      </w:tr>
      <w:tr w:rsidR="0086604E" w14:paraId="2E8A97C6" w14:textId="77777777" w:rsidTr="00961933">
        <w:tc>
          <w:tcPr>
            <w:tcW w:w="1836" w:type="dxa"/>
            <w:shd w:val="clear" w:color="auto" w:fill="FFD966" w:themeFill="accent4" w:themeFillTint="99"/>
            <w:vAlign w:val="center"/>
          </w:tcPr>
          <w:p w14:paraId="35C93F18" w14:textId="77777777" w:rsidR="0086604E" w:rsidRPr="008675D5" w:rsidRDefault="0086604E" w:rsidP="00961933">
            <w:pPr>
              <w:jc w:val="center"/>
              <w:rPr>
                <w:b/>
                <w:bCs/>
                <w:color w:val="0070C0"/>
              </w:rPr>
            </w:pPr>
            <w:r w:rsidRPr="008675D5">
              <w:rPr>
                <w:b/>
                <w:bCs/>
                <w:color w:val="0070C0"/>
              </w:rPr>
              <w:t>Aim</w:t>
            </w:r>
          </w:p>
        </w:tc>
        <w:tc>
          <w:tcPr>
            <w:tcW w:w="7160" w:type="dxa"/>
            <w:shd w:val="clear" w:color="auto" w:fill="FFFFFF" w:themeFill="background1"/>
          </w:tcPr>
          <w:p w14:paraId="04864826" w14:textId="4F0BF112" w:rsidR="0086604E" w:rsidRPr="0086604E" w:rsidRDefault="0086604E" w:rsidP="00BF71D5">
            <w:pPr>
              <w:jc w:val="both"/>
            </w:pPr>
            <w:r>
              <w:t xml:space="preserve">To provide training in pedagogic </w:t>
            </w:r>
            <w:r>
              <w:rPr>
                <w:lang w:val="en-US"/>
              </w:rPr>
              <w:t>strategies, resources, and assessment practices to be used in the classroom</w:t>
            </w:r>
            <w:r w:rsidR="00B951AE">
              <w:rPr>
                <w:lang w:val="en-US"/>
              </w:rPr>
              <w:t xml:space="preserve"> </w:t>
            </w:r>
            <w:r>
              <w:rPr>
                <w:lang w:val="en-US"/>
              </w:rPr>
              <w:t>to promote active learning and educational success for diverse learners.</w:t>
            </w:r>
          </w:p>
        </w:tc>
      </w:tr>
      <w:tr w:rsidR="0086604E" w14:paraId="1D561A65" w14:textId="77777777" w:rsidTr="00961933">
        <w:tc>
          <w:tcPr>
            <w:tcW w:w="1836" w:type="dxa"/>
            <w:shd w:val="clear" w:color="auto" w:fill="FFD966" w:themeFill="accent4" w:themeFillTint="99"/>
            <w:vAlign w:val="center"/>
          </w:tcPr>
          <w:p w14:paraId="15ED42BA" w14:textId="77777777" w:rsidR="0086604E" w:rsidRPr="008675D5" w:rsidRDefault="0086604E" w:rsidP="00961933">
            <w:pPr>
              <w:jc w:val="center"/>
              <w:rPr>
                <w:b/>
                <w:bCs/>
                <w:color w:val="0070C0"/>
              </w:rPr>
            </w:pPr>
            <w:r w:rsidRPr="008675D5">
              <w:rPr>
                <w:b/>
                <w:bCs/>
                <w:color w:val="0070C0"/>
              </w:rPr>
              <w:t>Description</w:t>
            </w:r>
          </w:p>
        </w:tc>
        <w:tc>
          <w:tcPr>
            <w:tcW w:w="7160" w:type="dxa"/>
            <w:shd w:val="clear" w:color="auto" w:fill="FFFFFF" w:themeFill="background1"/>
          </w:tcPr>
          <w:p w14:paraId="4A258B19" w14:textId="7D22B7E8" w:rsidR="0086604E" w:rsidRPr="0086604E" w:rsidRDefault="0086604E" w:rsidP="00BF71D5">
            <w:pPr>
              <w:spacing w:before="60" w:after="60"/>
              <w:jc w:val="both"/>
            </w:pPr>
            <w:r>
              <w:t xml:space="preserve">This strategy aims to raise teachers’ awareness of the importance of practical learning experiences </w:t>
            </w:r>
            <w:r w:rsidR="001E55FB">
              <w:t>in</w:t>
            </w:r>
            <w:r>
              <w:t xml:space="preserve"> promot</w:t>
            </w:r>
            <w:r w:rsidR="001E55FB">
              <w:t>ing</w:t>
            </w:r>
            <w:r>
              <w:t xml:space="preserve"> students’ motivation and interest </w:t>
            </w:r>
            <w:r w:rsidR="001E55FB">
              <w:t>in</w:t>
            </w:r>
            <w:r>
              <w:t xml:space="preserve"> learning. Training focuses on pedagogical strategies that foster the use of practical activities such as: differentiated learning tasks; digital technologies in the classroom; continuous assessment strategies; active teaching and learning methodologies. </w:t>
            </w:r>
            <w:r w:rsidR="00775B92">
              <w:t>S</w:t>
            </w:r>
            <w:r>
              <w:t xml:space="preserve">essions </w:t>
            </w:r>
            <w:r w:rsidR="00775B92">
              <w:t>can involve</w:t>
            </w:r>
            <w:r>
              <w:t xml:space="preserve"> face-to-face as well as e-learning activities. Collaboration is emphasised </w:t>
            </w:r>
            <w:r w:rsidR="00C20190">
              <w:t>through</w:t>
            </w:r>
            <w:r>
              <w:t xml:space="preserve"> the sharing of professional experiences and good practices among teachers.</w:t>
            </w:r>
          </w:p>
        </w:tc>
      </w:tr>
      <w:tr w:rsidR="0086604E" w14:paraId="43380A67" w14:textId="77777777" w:rsidTr="00961933">
        <w:tc>
          <w:tcPr>
            <w:tcW w:w="1836" w:type="dxa"/>
            <w:shd w:val="clear" w:color="auto" w:fill="FFD966" w:themeFill="accent4" w:themeFillTint="99"/>
            <w:vAlign w:val="center"/>
          </w:tcPr>
          <w:p w14:paraId="0B3F6624" w14:textId="77777777" w:rsidR="0086604E" w:rsidRPr="008675D5" w:rsidRDefault="0086604E" w:rsidP="00961933">
            <w:pPr>
              <w:jc w:val="center"/>
              <w:rPr>
                <w:b/>
                <w:bCs/>
                <w:color w:val="0070C0"/>
              </w:rPr>
            </w:pPr>
            <w:r w:rsidRPr="008675D5">
              <w:rPr>
                <w:b/>
                <w:bCs/>
                <w:color w:val="0070C0"/>
              </w:rPr>
              <w:t>Examples</w:t>
            </w:r>
          </w:p>
        </w:tc>
        <w:tc>
          <w:tcPr>
            <w:tcW w:w="7160" w:type="dxa"/>
            <w:shd w:val="clear" w:color="auto" w:fill="FFFFFF" w:themeFill="background1"/>
          </w:tcPr>
          <w:p w14:paraId="1273AC3A" w14:textId="208D8441" w:rsidR="0086604E" w:rsidRDefault="0086604E" w:rsidP="00BF71D5">
            <w:pPr>
              <w:pStyle w:val="ListParagraph"/>
              <w:numPr>
                <w:ilvl w:val="0"/>
                <w:numId w:val="1"/>
              </w:numPr>
              <w:spacing w:line="256" w:lineRule="auto"/>
              <w:jc w:val="both"/>
            </w:pPr>
            <w:r>
              <w:rPr>
                <w:b/>
                <w:bCs/>
                <w:color w:val="4472C4" w:themeColor="accent1"/>
              </w:rPr>
              <w:t>Digital technologies</w:t>
            </w:r>
            <w:r>
              <w:rPr>
                <w:b/>
              </w:rPr>
              <w:t>:</w:t>
            </w:r>
            <w:r>
              <w:rPr>
                <w:bCs/>
              </w:rPr>
              <w:t xml:space="preserve"> </w:t>
            </w:r>
            <w:r w:rsidR="00C20190">
              <w:rPr>
                <w:bCs/>
              </w:rPr>
              <w:t>c</w:t>
            </w:r>
            <w:r>
              <w:rPr>
                <w:bCs/>
              </w:rPr>
              <w:t>omputer</w:t>
            </w:r>
            <w:r w:rsidR="00C20190">
              <w:rPr>
                <w:bCs/>
              </w:rPr>
              <w:t>-</w:t>
            </w:r>
            <w:r>
              <w:rPr>
                <w:bCs/>
              </w:rPr>
              <w:t>based tools to create roadmaps and timeline (strategy 1); minds maps (strategy 2); Blogs, etc.</w:t>
            </w:r>
          </w:p>
          <w:p w14:paraId="7AA2EEC7" w14:textId="43769EE0" w:rsidR="0086604E" w:rsidRDefault="0086604E" w:rsidP="00BF71D5">
            <w:pPr>
              <w:pStyle w:val="ListParagraph"/>
              <w:numPr>
                <w:ilvl w:val="0"/>
                <w:numId w:val="1"/>
              </w:numPr>
              <w:spacing w:line="256" w:lineRule="auto"/>
              <w:jc w:val="both"/>
            </w:pPr>
            <w:r>
              <w:rPr>
                <w:b/>
                <w:bCs/>
                <w:color w:val="4472C4" w:themeColor="accent1"/>
              </w:rPr>
              <w:t>Dynamic activities for the classroom:</w:t>
            </w:r>
            <w:r>
              <w:rPr>
                <w:bCs/>
              </w:rPr>
              <w:t xml:space="preserve"> </w:t>
            </w:r>
            <w:r w:rsidR="00A25F95">
              <w:rPr>
                <w:bCs/>
              </w:rPr>
              <w:t>g</w:t>
            </w:r>
            <w:r>
              <w:rPr>
                <w:bCs/>
              </w:rPr>
              <w:t>ames with images (</w:t>
            </w:r>
            <w:r w:rsidR="00A25F95">
              <w:rPr>
                <w:bCs/>
              </w:rPr>
              <w:t>rather than</w:t>
            </w:r>
            <w:r>
              <w:rPr>
                <w:bCs/>
              </w:rPr>
              <w:t xml:space="preserve"> textual</w:t>
            </w:r>
            <w:r w:rsidR="00A25F95">
              <w:rPr>
                <w:bCs/>
              </w:rPr>
              <w:t xml:space="preserve"> focus</w:t>
            </w:r>
            <w:r>
              <w:rPr>
                <w:bCs/>
              </w:rPr>
              <w:t>) where participants describe the images and reflect on the emerging concepts; videos to explore concepts.</w:t>
            </w:r>
          </w:p>
          <w:p w14:paraId="25798D8C" w14:textId="6A057CED" w:rsidR="0086604E" w:rsidRPr="0086604E" w:rsidRDefault="0086604E" w:rsidP="00BF71D5">
            <w:pPr>
              <w:pStyle w:val="ListParagraph"/>
              <w:numPr>
                <w:ilvl w:val="0"/>
                <w:numId w:val="1"/>
              </w:numPr>
              <w:spacing w:line="256" w:lineRule="auto"/>
              <w:jc w:val="both"/>
              <w:rPr>
                <w:bCs/>
                <w:sz w:val="20"/>
                <w:szCs w:val="20"/>
              </w:rPr>
            </w:pPr>
            <w:r>
              <w:rPr>
                <w:b/>
                <w:bCs/>
                <w:color w:val="4472C4" w:themeColor="accent1"/>
              </w:rPr>
              <w:t xml:space="preserve">Activities to explore current youth issues: </w:t>
            </w:r>
            <w:r w:rsidR="00B86F13" w:rsidRPr="000936AC">
              <w:t>w</w:t>
            </w:r>
            <w:r>
              <w:rPr>
                <w:bCs/>
              </w:rPr>
              <w:t xml:space="preserve">orkshops </w:t>
            </w:r>
            <w:r w:rsidR="000936AC">
              <w:rPr>
                <w:bCs/>
              </w:rPr>
              <w:t>on</w:t>
            </w:r>
            <w:r>
              <w:rPr>
                <w:bCs/>
              </w:rPr>
              <w:t xml:space="preserve"> health and wellbeing themes suggested by students, </w:t>
            </w:r>
            <w:proofErr w:type="gramStart"/>
            <w:r>
              <w:rPr>
                <w:bCs/>
              </w:rPr>
              <w:t>e.g.</w:t>
            </w:r>
            <w:proofErr w:type="gramEnd"/>
            <w:r>
              <w:rPr>
                <w:bCs/>
              </w:rPr>
              <w:t xml:space="preserve"> sexuality, food, sustainability.</w:t>
            </w:r>
          </w:p>
        </w:tc>
      </w:tr>
    </w:tbl>
    <w:p w14:paraId="39C441EF" w14:textId="39224D95" w:rsidR="00424051" w:rsidRDefault="00424051" w:rsidP="004240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86604E" w14:paraId="45C56F2A" w14:textId="77777777" w:rsidTr="00961933">
        <w:tc>
          <w:tcPr>
            <w:tcW w:w="8996" w:type="dxa"/>
            <w:gridSpan w:val="2"/>
            <w:shd w:val="clear" w:color="auto" w:fill="FFC000" w:themeFill="accent4"/>
            <w:vAlign w:val="center"/>
          </w:tcPr>
          <w:p w14:paraId="2A1A15DC" w14:textId="5BAF8FCC" w:rsidR="0086604E" w:rsidRPr="00E16D29" w:rsidRDefault="0055073D" w:rsidP="00D51B7D">
            <w:pPr>
              <w:pStyle w:val="Heading1"/>
              <w:outlineLvl w:val="0"/>
            </w:pPr>
            <w:bookmarkStart w:id="10" w:name="_Toc44942582"/>
            <w:r>
              <w:t>Action</w:t>
            </w:r>
            <w:r w:rsidR="0086604E" w:rsidRPr="0086604E">
              <w:t xml:space="preserve"> 11: Support with mid-term and </w:t>
            </w:r>
            <w:r w:rsidR="00BF058C">
              <w:t xml:space="preserve">end of </w:t>
            </w:r>
            <w:r w:rsidR="0086604E" w:rsidRPr="0086604E">
              <w:t>key-stage transitions</w:t>
            </w:r>
            <w:bookmarkEnd w:id="10"/>
          </w:p>
        </w:tc>
      </w:tr>
      <w:tr w:rsidR="0086604E" w14:paraId="111AC7AE" w14:textId="77777777" w:rsidTr="00961933">
        <w:tc>
          <w:tcPr>
            <w:tcW w:w="1836" w:type="dxa"/>
            <w:shd w:val="clear" w:color="auto" w:fill="FFD966" w:themeFill="accent4" w:themeFillTint="99"/>
            <w:vAlign w:val="center"/>
          </w:tcPr>
          <w:p w14:paraId="42467AB8" w14:textId="77777777" w:rsidR="0086604E" w:rsidRPr="008675D5" w:rsidRDefault="0086604E" w:rsidP="00961933">
            <w:pPr>
              <w:jc w:val="center"/>
              <w:rPr>
                <w:b/>
                <w:bCs/>
                <w:color w:val="0070C0"/>
              </w:rPr>
            </w:pPr>
            <w:r w:rsidRPr="008675D5">
              <w:rPr>
                <w:b/>
                <w:bCs/>
                <w:color w:val="0070C0"/>
              </w:rPr>
              <w:t>Aim</w:t>
            </w:r>
          </w:p>
        </w:tc>
        <w:tc>
          <w:tcPr>
            <w:tcW w:w="7160" w:type="dxa"/>
            <w:shd w:val="clear" w:color="auto" w:fill="FFFFFF" w:themeFill="background1"/>
          </w:tcPr>
          <w:p w14:paraId="24DEC43B" w14:textId="2C1FDC5D" w:rsidR="0086604E" w:rsidRPr="0086604E" w:rsidRDefault="00E92B9F" w:rsidP="00BF71D5">
            <w:pPr>
              <w:jc w:val="both"/>
              <w:rPr>
                <w:bCs/>
              </w:rPr>
            </w:pPr>
            <w:r>
              <w:rPr>
                <w:bCs/>
              </w:rPr>
              <w:t xml:space="preserve">To give young people personalised support to deal with the risks and difficulties of transitioning between educational institutions. </w:t>
            </w:r>
          </w:p>
        </w:tc>
      </w:tr>
      <w:tr w:rsidR="0086604E" w14:paraId="58C4A5E0" w14:textId="77777777" w:rsidTr="00961933">
        <w:tc>
          <w:tcPr>
            <w:tcW w:w="1836" w:type="dxa"/>
            <w:shd w:val="clear" w:color="auto" w:fill="FFD966" w:themeFill="accent4" w:themeFillTint="99"/>
            <w:vAlign w:val="center"/>
          </w:tcPr>
          <w:p w14:paraId="4B6B132F" w14:textId="77777777" w:rsidR="0086604E" w:rsidRPr="008675D5" w:rsidRDefault="0086604E" w:rsidP="00961933">
            <w:pPr>
              <w:jc w:val="center"/>
              <w:rPr>
                <w:b/>
                <w:bCs/>
                <w:color w:val="0070C0"/>
              </w:rPr>
            </w:pPr>
            <w:r w:rsidRPr="008675D5">
              <w:rPr>
                <w:b/>
                <w:bCs/>
                <w:color w:val="0070C0"/>
              </w:rPr>
              <w:t>Description</w:t>
            </w:r>
          </w:p>
        </w:tc>
        <w:tc>
          <w:tcPr>
            <w:tcW w:w="7160" w:type="dxa"/>
            <w:shd w:val="clear" w:color="auto" w:fill="FFFFFF" w:themeFill="background1"/>
          </w:tcPr>
          <w:p w14:paraId="65CBDC05" w14:textId="459FE565" w:rsidR="0086604E" w:rsidRPr="0086604E" w:rsidRDefault="0086604E" w:rsidP="00BF71D5">
            <w:pPr>
              <w:jc w:val="both"/>
              <w:rPr>
                <w:bCs/>
              </w:rPr>
            </w:pPr>
            <w:r>
              <w:rPr>
                <w:bCs/>
              </w:rPr>
              <w:t xml:space="preserve">Young people are at particular risk of disengaging </w:t>
            </w:r>
            <w:r w:rsidR="006739AB">
              <w:rPr>
                <w:bCs/>
              </w:rPr>
              <w:t>from</w:t>
            </w:r>
            <w:r>
              <w:rPr>
                <w:bCs/>
              </w:rPr>
              <w:t xml:space="preserve"> education/training in the period before, during and immediately following an educational transition. Key-stage transitions usually involve the whole student cohort, while ‘mid-term’ transitions are frequently individual and occur outside of the normal admission/exit point at the educational setting. Support </w:t>
            </w:r>
            <w:r w:rsidR="00CB34BE">
              <w:rPr>
                <w:bCs/>
              </w:rPr>
              <w:t>focuses on ensuring</w:t>
            </w:r>
            <w:r>
              <w:rPr>
                <w:bCs/>
              </w:rPr>
              <w:t xml:space="preserve"> young people experiencing transitions</w:t>
            </w:r>
            <w:r w:rsidR="00D446E5">
              <w:rPr>
                <w:bCs/>
              </w:rPr>
              <w:t xml:space="preserve"> (planned and unplanned) </w:t>
            </w:r>
            <w:r>
              <w:rPr>
                <w:bCs/>
              </w:rPr>
              <w:t>positively, before, during, and following the transition. Support involve</w:t>
            </w:r>
            <w:r w:rsidR="00765FD9">
              <w:rPr>
                <w:bCs/>
              </w:rPr>
              <w:t>s</w:t>
            </w:r>
            <w:r>
              <w:rPr>
                <w:bCs/>
              </w:rPr>
              <w:t xml:space="preserve"> working with stakeholders</w:t>
            </w:r>
            <w:r w:rsidR="002F2CB6">
              <w:rPr>
                <w:bCs/>
              </w:rPr>
              <w:t xml:space="preserve">; </w:t>
            </w:r>
            <w:r>
              <w:rPr>
                <w:bCs/>
              </w:rPr>
              <w:t xml:space="preserve">teachers, administrators, leadership teams </w:t>
            </w:r>
            <w:r w:rsidR="002F2CB6">
              <w:rPr>
                <w:bCs/>
              </w:rPr>
              <w:t>(in both s</w:t>
            </w:r>
            <w:r>
              <w:rPr>
                <w:bCs/>
              </w:rPr>
              <w:t>ending and receiving institution</w:t>
            </w:r>
            <w:r w:rsidR="002F2CB6">
              <w:rPr>
                <w:bCs/>
              </w:rPr>
              <w:t xml:space="preserve">s), </w:t>
            </w:r>
            <w:r>
              <w:rPr>
                <w:bCs/>
              </w:rPr>
              <w:t>parents/ca</w:t>
            </w:r>
            <w:r w:rsidR="002F2CB6">
              <w:rPr>
                <w:bCs/>
              </w:rPr>
              <w:t>rers</w:t>
            </w:r>
            <w:r>
              <w:rPr>
                <w:bCs/>
              </w:rPr>
              <w:t>, friends and peers. This action is best carried out by a designated person.</w:t>
            </w:r>
          </w:p>
        </w:tc>
      </w:tr>
      <w:tr w:rsidR="0086604E" w14:paraId="7967734D" w14:textId="77777777" w:rsidTr="00961933">
        <w:tc>
          <w:tcPr>
            <w:tcW w:w="1836" w:type="dxa"/>
            <w:shd w:val="clear" w:color="auto" w:fill="FFD966" w:themeFill="accent4" w:themeFillTint="99"/>
            <w:vAlign w:val="center"/>
          </w:tcPr>
          <w:p w14:paraId="0B1C5819" w14:textId="77777777" w:rsidR="0086604E" w:rsidRPr="008675D5" w:rsidRDefault="0086604E" w:rsidP="00961933">
            <w:pPr>
              <w:jc w:val="center"/>
              <w:rPr>
                <w:b/>
                <w:bCs/>
                <w:color w:val="0070C0"/>
              </w:rPr>
            </w:pPr>
            <w:r w:rsidRPr="008675D5">
              <w:rPr>
                <w:b/>
                <w:bCs/>
                <w:color w:val="0070C0"/>
              </w:rPr>
              <w:t>Examples</w:t>
            </w:r>
          </w:p>
        </w:tc>
        <w:tc>
          <w:tcPr>
            <w:tcW w:w="7160" w:type="dxa"/>
            <w:shd w:val="clear" w:color="auto" w:fill="FFFFFF" w:themeFill="background1"/>
          </w:tcPr>
          <w:p w14:paraId="694672B9" w14:textId="2FA2914F" w:rsidR="0086604E" w:rsidRDefault="0086604E" w:rsidP="00BF71D5">
            <w:pPr>
              <w:pStyle w:val="ListParagraph"/>
              <w:numPr>
                <w:ilvl w:val="0"/>
                <w:numId w:val="16"/>
              </w:numPr>
              <w:spacing w:before="60" w:after="60" w:line="256" w:lineRule="auto"/>
              <w:jc w:val="both"/>
              <w:rPr>
                <w:bCs/>
                <w:i/>
                <w:iCs/>
              </w:rPr>
            </w:pPr>
            <w:r>
              <w:rPr>
                <w:b/>
                <w:bCs/>
                <w:color w:val="4472C4" w:themeColor="accent1"/>
              </w:rPr>
              <w:t>Travel Training</w:t>
            </w:r>
            <w:r>
              <w:rPr>
                <w:b/>
              </w:rPr>
              <w:t>:</w:t>
            </w:r>
            <w:r>
              <w:rPr>
                <w:bCs/>
              </w:rPr>
              <w:t xml:space="preserve"> </w:t>
            </w:r>
            <w:r w:rsidR="002F2CB6">
              <w:rPr>
                <w:bCs/>
              </w:rPr>
              <w:t>f</w:t>
            </w:r>
            <w:r>
              <w:rPr>
                <w:bCs/>
              </w:rPr>
              <w:t>amiliarising the young person with bus routes or travel plans to arrive at new locations (</w:t>
            </w:r>
            <w:proofErr w:type="gramStart"/>
            <w:r>
              <w:rPr>
                <w:bCs/>
              </w:rPr>
              <w:t>e.g.</w:t>
            </w:r>
            <w:proofErr w:type="gramEnd"/>
            <w:r>
              <w:rPr>
                <w:bCs/>
              </w:rPr>
              <w:t xml:space="preserve"> work experience).</w:t>
            </w:r>
          </w:p>
          <w:p w14:paraId="4EAC225C" w14:textId="367D393B" w:rsidR="0086604E" w:rsidRDefault="0086604E" w:rsidP="00BF71D5">
            <w:pPr>
              <w:pStyle w:val="ListParagraph"/>
              <w:numPr>
                <w:ilvl w:val="0"/>
                <w:numId w:val="15"/>
              </w:numPr>
              <w:spacing w:line="256" w:lineRule="auto"/>
              <w:jc w:val="both"/>
            </w:pPr>
            <w:r>
              <w:rPr>
                <w:b/>
                <w:bCs/>
                <w:color w:val="4472C4" w:themeColor="accent1"/>
              </w:rPr>
              <w:t>Warm handover:</w:t>
            </w:r>
            <w:r>
              <w:rPr>
                <w:bCs/>
              </w:rPr>
              <w:t xml:space="preserve"> </w:t>
            </w:r>
            <w:r w:rsidR="002F2CB6">
              <w:rPr>
                <w:bCs/>
              </w:rPr>
              <w:t>w</w:t>
            </w:r>
            <w:r>
              <w:rPr>
                <w:bCs/>
              </w:rPr>
              <w:t xml:space="preserve">hen a tutor accompanies a young person to a new education/training setting on their first point of contact and/or first </w:t>
            </w:r>
            <w:proofErr w:type="gramStart"/>
            <w:r>
              <w:rPr>
                <w:bCs/>
              </w:rPr>
              <w:t>day, and</w:t>
            </w:r>
            <w:proofErr w:type="gramEnd"/>
            <w:r>
              <w:rPr>
                <w:bCs/>
              </w:rPr>
              <w:t xml:space="preserve"> introduces them to a point of contact in the new setting.</w:t>
            </w:r>
          </w:p>
          <w:p w14:paraId="15B5C586" w14:textId="340FEB3C" w:rsidR="0086604E" w:rsidRPr="0086604E" w:rsidRDefault="0086604E" w:rsidP="00BF71D5">
            <w:pPr>
              <w:pStyle w:val="ListParagraph"/>
              <w:numPr>
                <w:ilvl w:val="0"/>
                <w:numId w:val="15"/>
              </w:numPr>
              <w:spacing w:line="256" w:lineRule="auto"/>
              <w:jc w:val="both"/>
              <w:rPr>
                <w:bCs/>
              </w:rPr>
            </w:pPr>
            <w:r>
              <w:rPr>
                <w:b/>
                <w:bCs/>
                <w:color w:val="4472C4" w:themeColor="accent1"/>
              </w:rPr>
              <w:t>School-community directory where each new student has an entry</w:t>
            </w:r>
            <w:r>
              <w:rPr>
                <w:b/>
                <w:i/>
                <w:iCs/>
              </w:rPr>
              <w:t xml:space="preserve">: </w:t>
            </w:r>
            <w:r w:rsidR="0060594E" w:rsidRPr="0060594E">
              <w:rPr>
                <w:bCs/>
              </w:rPr>
              <w:t>t</w:t>
            </w:r>
            <w:r>
              <w:rPr>
                <w:bCs/>
              </w:rPr>
              <w:t>his is important so that outgoing and incoming students can feel that they have a legacy at the school.</w:t>
            </w:r>
          </w:p>
        </w:tc>
      </w:tr>
    </w:tbl>
    <w:p w14:paraId="74072C36" w14:textId="1DF4AA73" w:rsidR="00424051" w:rsidRDefault="00424051" w:rsidP="00424051"/>
    <w:p w14:paraId="4E3BCE1A" w14:textId="77777777" w:rsidR="00E92B9F" w:rsidRDefault="00E92B9F" w:rsidP="004240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86604E" w14:paraId="2876D754" w14:textId="77777777" w:rsidTr="00961933">
        <w:tc>
          <w:tcPr>
            <w:tcW w:w="8996" w:type="dxa"/>
            <w:gridSpan w:val="2"/>
            <w:shd w:val="clear" w:color="auto" w:fill="FFC000" w:themeFill="accent4"/>
            <w:vAlign w:val="center"/>
          </w:tcPr>
          <w:p w14:paraId="61B644B6" w14:textId="66131E55" w:rsidR="0086604E" w:rsidRPr="00E16D29" w:rsidRDefault="0055073D" w:rsidP="00D51B7D">
            <w:pPr>
              <w:pStyle w:val="Heading1"/>
              <w:outlineLvl w:val="0"/>
            </w:pPr>
            <w:bookmarkStart w:id="11" w:name="_Toc44942583"/>
            <w:r>
              <w:t>Action</w:t>
            </w:r>
            <w:r w:rsidR="0086604E" w:rsidRPr="0086604E">
              <w:t xml:space="preserve"> 12: Promoting inclusive learning environments and alternative learning arrangements</w:t>
            </w:r>
            <w:bookmarkEnd w:id="11"/>
          </w:p>
        </w:tc>
      </w:tr>
      <w:tr w:rsidR="0086604E" w14:paraId="396FE0A9" w14:textId="77777777" w:rsidTr="00961933">
        <w:tc>
          <w:tcPr>
            <w:tcW w:w="1836" w:type="dxa"/>
            <w:shd w:val="clear" w:color="auto" w:fill="FFD966" w:themeFill="accent4" w:themeFillTint="99"/>
            <w:vAlign w:val="center"/>
          </w:tcPr>
          <w:p w14:paraId="722F89DA" w14:textId="77777777" w:rsidR="0086604E" w:rsidRPr="008675D5" w:rsidRDefault="0086604E" w:rsidP="00961933">
            <w:pPr>
              <w:jc w:val="center"/>
              <w:rPr>
                <w:b/>
                <w:bCs/>
                <w:color w:val="0070C0"/>
              </w:rPr>
            </w:pPr>
            <w:r w:rsidRPr="008675D5">
              <w:rPr>
                <w:b/>
                <w:bCs/>
                <w:color w:val="0070C0"/>
              </w:rPr>
              <w:t>Aim</w:t>
            </w:r>
          </w:p>
        </w:tc>
        <w:tc>
          <w:tcPr>
            <w:tcW w:w="7160" w:type="dxa"/>
            <w:shd w:val="clear" w:color="auto" w:fill="FFFFFF" w:themeFill="background1"/>
          </w:tcPr>
          <w:p w14:paraId="24C87652" w14:textId="02752B98" w:rsidR="0086604E" w:rsidRPr="0086604E" w:rsidRDefault="0086604E" w:rsidP="00BF71D5">
            <w:pPr>
              <w:jc w:val="both"/>
              <w:rPr>
                <w:bCs/>
              </w:rPr>
            </w:pPr>
            <w:r>
              <w:rPr>
                <w:bCs/>
              </w:rPr>
              <w:t xml:space="preserve">To promote </w:t>
            </w:r>
            <w:r w:rsidR="00E92B9F">
              <w:rPr>
                <w:bCs/>
              </w:rPr>
              <w:t xml:space="preserve">an </w:t>
            </w:r>
            <w:r>
              <w:rPr>
                <w:bCs/>
              </w:rPr>
              <w:t>inclusive learning</w:t>
            </w:r>
            <w:r w:rsidR="00E92B9F">
              <w:rPr>
                <w:bCs/>
              </w:rPr>
              <w:t xml:space="preserve"> environment in both </w:t>
            </w:r>
            <w:r>
              <w:rPr>
                <w:bCs/>
              </w:rPr>
              <w:t xml:space="preserve">formal learning institutions </w:t>
            </w:r>
            <w:r w:rsidR="00AA17AD">
              <w:rPr>
                <w:bCs/>
              </w:rPr>
              <w:t>and</w:t>
            </w:r>
            <w:r>
              <w:rPr>
                <w:bCs/>
              </w:rPr>
              <w:t xml:space="preserve"> ‘alternative provision’ settings </w:t>
            </w:r>
            <w:r w:rsidR="00E92B9F">
              <w:rPr>
                <w:bCs/>
              </w:rPr>
              <w:t xml:space="preserve">(e.g. </w:t>
            </w:r>
            <w:r>
              <w:rPr>
                <w:bCs/>
              </w:rPr>
              <w:t>Vocational Education and Training</w:t>
            </w:r>
            <w:r w:rsidR="00E92B9F">
              <w:rPr>
                <w:bCs/>
              </w:rPr>
              <w:t>,</w:t>
            </w:r>
            <w:r>
              <w:rPr>
                <w:bCs/>
              </w:rPr>
              <w:t xml:space="preserve"> and non-formal education providers</w:t>
            </w:r>
            <w:r w:rsidR="00E92B9F">
              <w:rPr>
                <w:bCs/>
              </w:rPr>
              <w:t>)</w:t>
            </w:r>
            <w:r>
              <w:rPr>
                <w:bCs/>
              </w:rPr>
              <w:t>.</w:t>
            </w:r>
          </w:p>
        </w:tc>
      </w:tr>
      <w:tr w:rsidR="0086604E" w14:paraId="2F2C3287" w14:textId="77777777" w:rsidTr="00961933">
        <w:tc>
          <w:tcPr>
            <w:tcW w:w="1836" w:type="dxa"/>
            <w:shd w:val="clear" w:color="auto" w:fill="FFD966" w:themeFill="accent4" w:themeFillTint="99"/>
            <w:vAlign w:val="center"/>
          </w:tcPr>
          <w:p w14:paraId="140A8811" w14:textId="77777777" w:rsidR="0086604E" w:rsidRPr="008675D5" w:rsidRDefault="0086604E" w:rsidP="00961933">
            <w:pPr>
              <w:jc w:val="center"/>
              <w:rPr>
                <w:b/>
                <w:bCs/>
                <w:color w:val="0070C0"/>
              </w:rPr>
            </w:pPr>
            <w:r w:rsidRPr="008675D5">
              <w:rPr>
                <w:b/>
                <w:bCs/>
                <w:color w:val="0070C0"/>
              </w:rPr>
              <w:t>Description</w:t>
            </w:r>
          </w:p>
        </w:tc>
        <w:tc>
          <w:tcPr>
            <w:tcW w:w="7160" w:type="dxa"/>
            <w:shd w:val="clear" w:color="auto" w:fill="FFFFFF" w:themeFill="background1"/>
          </w:tcPr>
          <w:p w14:paraId="7312B164" w14:textId="1AC6075E" w:rsidR="0086604E" w:rsidRPr="0086604E" w:rsidRDefault="0086604E" w:rsidP="00BF71D5">
            <w:pPr>
              <w:spacing w:before="60" w:after="60"/>
              <w:jc w:val="both"/>
              <w:rPr>
                <w:bCs/>
                <w:i/>
                <w:iCs/>
              </w:rPr>
            </w:pPr>
            <w:r>
              <w:rPr>
                <w:bCs/>
              </w:rPr>
              <w:t xml:space="preserve">Young people at risk of EL often find it difficult to engage with the formal learning environment of school or college and </w:t>
            </w:r>
            <w:r w:rsidR="00CE259C">
              <w:rPr>
                <w:bCs/>
              </w:rPr>
              <w:t>so may</w:t>
            </w:r>
            <w:r>
              <w:rPr>
                <w:bCs/>
              </w:rPr>
              <w:t xml:space="preserve"> experience school/college as isolating or inappropriate to their learning needs. This action </w:t>
            </w:r>
            <w:r w:rsidRPr="00CE259C">
              <w:rPr>
                <w:bCs/>
              </w:rPr>
              <w:t>is therefore</w:t>
            </w:r>
            <w:r>
              <w:rPr>
                <w:bCs/>
              </w:rPr>
              <w:t xml:space="preserve"> specifically </w:t>
            </w:r>
            <w:r w:rsidR="002F463A">
              <w:rPr>
                <w:bCs/>
              </w:rPr>
              <w:t>aimed at t</w:t>
            </w:r>
            <w:r>
              <w:rPr>
                <w:bCs/>
              </w:rPr>
              <w:t>hose young people for whom full-time formal education/training is difficult or not appropriate</w:t>
            </w:r>
            <w:r>
              <w:rPr>
                <w:bCs/>
                <w:i/>
                <w:iCs/>
              </w:rPr>
              <w:t xml:space="preserve">. </w:t>
            </w:r>
            <w:r>
              <w:rPr>
                <w:bCs/>
              </w:rPr>
              <w:t xml:space="preserve">This action is best achieved through the leadership of an identified person </w:t>
            </w:r>
            <w:r w:rsidR="002F463A">
              <w:rPr>
                <w:bCs/>
              </w:rPr>
              <w:t>who has</w:t>
            </w:r>
            <w:r w:rsidR="009B4957">
              <w:rPr>
                <w:bCs/>
              </w:rPr>
              <w:t xml:space="preserve"> </w:t>
            </w:r>
            <w:r>
              <w:rPr>
                <w:bCs/>
              </w:rPr>
              <w:t>knowledge</w:t>
            </w:r>
            <w:r w:rsidR="00B03B62">
              <w:rPr>
                <w:bCs/>
              </w:rPr>
              <w:t xml:space="preserve"> of</w:t>
            </w:r>
            <w:r w:rsidR="009B4957">
              <w:rPr>
                <w:bCs/>
              </w:rPr>
              <w:t xml:space="preserve"> </w:t>
            </w:r>
            <w:r>
              <w:rPr>
                <w:bCs/>
              </w:rPr>
              <w:t>the inclusivity of formal learning environments</w:t>
            </w:r>
            <w:r w:rsidR="00A6055C">
              <w:rPr>
                <w:bCs/>
              </w:rPr>
              <w:t>, the power to address and influence this</w:t>
            </w:r>
            <w:r>
              <w:rPr>
                <w:bCs/>
              </w:rPr>
              <w:t xml:space="preserve"> and for co-ordinating alternative learning arrangements</w:t>
            </w:r>
            <w:r w:rsidR="00B03B62">
              <w:rPr>
                <w:bCs/>
              </w:rPr>
              <w:t>.</w:t>
            </w:r>
          </w:p>
        </w:tc>
      </w:tr>
      <w:tr w:rsidR="0086604E" w14:paraId="3F29ABA2" w14:textId="77777777" w:rsidTr="00961933">
        <w:tc>
          <w:tcPr>
            <w:tcW w:w="1836" w:type="dxa"/>
            <w:shd w:val="clear" w:color="auto" w:fill="FFD966" w:themeFill="accent4" w:themeFillTint="99"/>
            <w:vAlign w:val="center"/>
          </w:tcPr>
          <w:p w14:paraId="4D9B3FC8" w14:textId="77777777" w:rsidR="0086604E" w:rsidRPr="008675D5" w:rsidRDefault="0086604E" w:rsidP="00961933">
            <w:pPr>
              <w:jc w:val="center"/>
              <w:rPr>
                <w:b/>
                <w:bCs/>
                <w:color w:val="0070C0"/>
              </w:rPr>
            </w:pPr>
            <w:r w:rsidRPr="008675D5">
              <w:rPr>
                <w:b/>
                <w:bCs/>
                <w:color w:val="0070C0"/>
              </w:rPr>
              <w:t>Examples</w:t>
            </w:r>
          </w:p>
        </w:tc>
        <w:tc>
          <w:tcPr>
            <w:tcW w:w="7160" w:type="dxa"/>
            <w:shd w:val="clear" w:color="auto" w:fill="FFFFFF" w:themeFill="background1"/>
          </w:tcPr>
          <w:p w14:paraId="3C2D628A" w14:textId="31EF2B8F" w:rsidR="0086604E" w:rsidRDefault="0086604E" w:rsidP="00BF71D5">
            <w:pPr>
              <w:pStyle w:val="ListParagraph"/>
              <w:numPr>
                <w:ilvl w:val="0"/>
                <w:numId w:val="15"/>
              </w:numPr>
              <w:spacing w:before="60" w:after="60" w:line="256" w:lineRule="auto"/>
              <w:jc w:val="both"/>
            </w:pPr>
            <w:r>
              <w:rPr>
                <w:b/>
                <w:bCs/>
                <w:color w:val="4472C4" w:themeColor="accent1"/>
              </w:rPr>
              <w:t>A ‘safe space’ in school</w:t>
            </w:r>
            <w:r w:rsidR="00965731">
              <w:rPr>
                <w:b/>
                <w:bCs/>
                <w:color w:val="4472C4" w:themeColor="accent1"/>
              </w:rPr>
              <w:t>:</w:t>
            </w:r>
            <w:r w:rsidR="00E92B9F">
              <w:rPr>
                <w:b/>
                <w:bCs/>
                <w:color w:val="4472C4" w:themeColor="accent1"/>
              </w:rPr>
              <w:t xml:space="preserve"> </w:t>
            </w:r>
            <w:r w:rsidR="00E92B9F">
              <w:rPr>
                <w:bCs/>
              </w:rPr>
              <w:t xml:space="preserve">the young person can visit when feeling overwhelmed or in need of support. </w:t>
            </w:r>
            <w:r>
              <w:rPr>
                <w:bCs/>
              </w:rPr>
              <w:t>Ideally this would be an enclosed room with therapeutic resources to alleviate anxiety</w:t>
            </w:r>
            <w:r w:rsidR="00E92B9F">
              <w:rPr>
                <w:bCs/>
              </w:rPr>
              <w:t>.</w:t>
            </w:r>
          </w:p>
          <w:p w14:paraId="342A1DED" w14:textId="4475ABD6" w:rsidR="0086604E" w:rsidRDefault="0086604E" w:rsidP="00BF71D5">
            <w:pPr>
              <w:pStyle w:val="ListParagraph"/>
              <w:numPr>
                <w:ilvl w:val="0"/>
                <w:numId w:val="15"/>
              </w:numPr>
              <w:spacing w:before="60" w:after="60" w:line="256" w:lineRule="auto"/>
              <w:jc w:val="both"/>
            </w:pPr>
            <w:r>
              <w:rPr>
                <w:b/>
                <w:bCs/>
                <w:color w:val="4472C4" w:themeColor="accent1"/>
              </w:rPr>
              <w:t>Visual and audio stimulating learning environment</w:t>
            </w:r>
            <w:r w:rsidR="0004034A">
              <w:rPr>
                <w:b/>
                <w:bCs/>
                <w:color w:val="4472C4" w:themeColor="accent1"/>
              </w:rPr>
              <w:t>:</w:t>
            </w:r>
            <w:r>
              <w:rPr>
                <w:bCs/>
              </w:rPr>
              <w:t xml:space="preserve"> </w:t>
            </w:r>
            <w:r w:rsidR="0021502D">
              <w:rPr>
                <w:bCs/>
              </w:rPr>
              <w:t>this</w:t>
            </w:r>
            <w:r w:rsidR="00E92B9F">
              <w:rPr>
                <w:bCs/>
              </w:rPr>
              <w:t xml:space="preserve"> </w:t>
            </w:r>
            <w:r>
              <w:rPr>
                <w:bCs/>
              </w:rPr>
              <w:t xml:space="preserve">can provoke an emotional response that </w:t>
            </w:r>
            <w:r w:rsidR="00E92B9F">
              <w:rPr>
                <w:bCs/>
              </w:rPr>
              <w:t>helps</w:t>
            </w:r>
            <w:r>
              <w:rPr>
                <w:bCs/>
              </w:rPr>
              <w:t xml:space="preserve"> </w:t>
            </w:r>
            <w:r w:rsidR="00E92B9F">
              <w:rPr>
                <w:bCs/>
              </w:rPr>
              <w:t>learning</w:t>
            </w:r>
            <w:r>
              <w:rPr>
                <w:bCs/>
              </w:rPr>
              <w:t xml:space="preserve"> </w:t>
            </w:r>
            <w:r w:rsidR="00E92B9F">
              <w:rPr>
                <w:bCs/>
              </w:rPr>
              <w:t>(e.g., joy, calm).</w:t>
            </w:r>
          </w:p>
          <w:p w14:paraId="372FC873" w14:textId="3C4EC078" w:rsidR="0086604E" w:rsidRPr="0086604E" w:rsidRDefault="0086604E" w:rsidP="00BF71D5">
            <w:pPr>
              <w:pStyle w:val="ListParagraph"/>
              <w:numPr>
                <w:ilvl w:val="0"/>
                <w:numId w:val="15"/>
              </w:numPr>
              <w:spacing w:before="60" w:after="60" w:line="256" w:lineRule="auto"/>
              <w:jc w:val="both"/>
            </w:pPr>
            <w:r>
              <w:rPr>
                <w:b/>
                <w:bCs/>
                <w:color w:val="4472C4" w:themeColor="accent1"/>
              </w:rPr>
              <w:t>A contract of participation:</w:t>
            </w:r>
            <w:r>
              <w:rPr>
                <w:b/>
                <w:i/>
                <w:iCs/>
              </w:rPr>
              <w:t xml:space="preserve"> </w:t>
            </w:r>
            <w:r w:rsidR="0021502D">
              <w:rPr>
                <w:bCs/>
                <w:i/>
                <w:iCs/>
              </w:rPr>
              <w:t>t</w:t>
            </w:r>
            <w:r>
              <w:rPr>
                <w:bCs/>
              </w:rPr>
              <w:t xml:space="preserve">o identify </w:t>
            </w:r>
            <w:r w:rsidR="00E92B9F">
              <w:rPr>
                <w:bCs/>
              </w:rPr>
              <w:t xml:space="preserve">a </w:t>
            </w:r>
            <w:r>
              <w:rPr>
                <w:bCs/>
              </w:rPr>
              <w:t>young person’s aspirations, objectives, motivations and purpose for participation</w:t>
            </w:r>
            <w:r w:rsidR="00E92B9F">
              <w:rPr>
                <w:bCs/>
              </w:rPr>
              <w:t>, as well as the educator’s expectations</w:t>
            </w:r>
            <w:r>
              <w:rPr>
                <w:bCs/>
              </w:rPr>
              <w:t>.</w:t>
            </w:r>
          </w:p>
        </w:tc>
      </w:tr>
    </w:tbl>
    <w:p w14:paraId="498031F0" w14:textId="5608ACA3" w:rsidR="00424051" w:rsidRDefault="00424051" w:rsidP="0042405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836"/>
        <w:gridCol w:w="7160"/>
      </w:tblGrid>
      <w:tr w:rsidR="00E92B9F" w14:paraId="608902CA" w14:textId="77777777" w:rsidTr="00961933">
        <w:tc>
          <w:tcPr>
            <w:tcW w:w="8996" w:type="dxa"/>
            <w:gridSpan w:val="2"/>
            <w:shd w:val="clear" w:color="auto" w:fill="FFC000" w:themeFill="accent4"/>
            <w:vAlign w:val="center"/>
          </w:tcPr>
          <w:p w14:paraId="3BE52353" w14:textId="2E0F277D" w:rsidR="00E92B9F" w:rsidRPr="00E16D29" w:rsidRDefault="0055073D" w:rsidP="00D51B7D">
            <w:pPr>
              <w:pStyle w:val="Heading1"/>
              <w:outlineLvl w:val="0"/>
            </w:pPr>
            <w:bookmarkStart w:id="12" w:name="_Toc44942584"/>
            <w:r>
              <w:t>Action</w:t>
            </w:r>
            <w:r w:rsidR="00E92B9F" w:rsidRPr="00E92B9F">
              <w:t xml:space="preserve"> 13: Support in building and navigating healthy peer relationships</w:t>
            </w:r>
            <w:bookmarkEnd w:id="12"/>
          </w:p>
        </w:tc>
      </w:tr>
      <w:tr w:rsidR="00E92B9F" w14:paraId="4A22356E" w14:textId="77777777" w:rsidTr="00961933">
        <w:tc>
          <w:tcPr>
            <w:tcW w:w="1836" w:type="dxa"/>
            <w:shd w:val="clear" w:color="auto" w:fill="FFD966" w:themeFill="accent4" w:themeFillTint="99"/>
            <w:vAlign w:val="center"/>
          </w:tcPr>
          <w:p w14:paraId="033CDED8" w14:textId="77777777" w:rsidR="00E92B9F" w:rsidRPr="008675D5" w:rsidRDefault="00E92B9F" w:rsidP="00961933">
            <w:pPr>
              <w:jc w:val="center"/>
              <w:rPr>
                <w:b/>
                <w:bCs/>
                <w:color w:val="0070C0"/>
              </w:rPr>
            </w:pPr>
            <w:r w:rsidRPr="008675D5">
              <w:rPr>
                <w:b/>
                <w:bCs/>
                <w:color w:val="0070C0"/>
              </w:rPr>
              <w:t>Aim</w:t>
            </w:r>
          </w:p>
        </w:tc>
        <w:tc>
          <w:tcPr>
            <w:tcW w:w="7160" w:type="dxa"/>
            <w:shd w:val="clear" w:color="auto" w:fill="FFFFFF" w:themeFill="background1"/>
          </w:tcPr>
          <w:p w14:paraId="513DC7AE" w14:textId="0D27F638" w:rsidR="00E92B9F" w:rsidRPr="00E92B9F" w:rsidRDefault="00E92B9F" w:rsidP="00BF71D5">
            <w:pPr>
              <w:spacing w:before="60" w:after="60"/>
              <w:jc w:val="both"/>
            </w:pPr>
            <w:r>
              <w:rPr>
                <w:bCs/>
              </w:rPr>
              <w:t xml:space="preserve">To support young people in building and maintaining positive and healthy peer relationships, including friendships, learning and co-working relationships and romantic relationships. </w:t>
            </w:r>
            <w:r>
              <w:rPr>
                <w:bCs/>
                <w:i/>
                <w:iCs/>
              </w:rPr>
              <w:t xml:space="preserve"> </w:t>
            </w:r>
          </w:p>
        </w:tc>
      </w:tr>
      <w:tr w:rsidR="00E92B9F" w14:paraId="1E5B8131" w14:textId="77777777" w:rsidTr="00961933">
        <w:tc>
          <w:tcPr>
            <w:tcW w:w="1836" w:type="dxa"/>
            <w:shd w:val="clear" w:color="auto" w:fill="FFD966" w:themeFill="accent4" w:themeFillTint="99"/>
            <w:vAlign w:val="center"/>
          </w:tcPr>
          <w:p w14:paraId="1D6897ED" w14:textId="77777777" w:rsidR="00E92B9F" w:rsidRPr="008675D5" w:rsidRDefault="00E92B9F" w:rsidP="00961933">
            <w:pPr>
              <w:jc w:val="center"/>
              <w:rPr>
                <w:b/>
                <w:bCs/>
                <w:color w:val="0070C0"/>
              </w:rPr>
            </w:pPr>
            <w:r w:rsidRPr="008675D5">
              <w:rPr>
                <w:b/>
                <w:bCs/>
                <w:color w:val="0070C0"/>
              </w:rPr>
              <w:t>Description</w:t>
            </w:r>
          </w:p>
        </w:tc>
        <w:tc>
          <w:tcPr>
            <w:tcW w:w="7160" w:type="dxa"/>
            <w:shd w:val="clear" w:color="auto" w:fill="FFFFFF" w:themeFill="background1"/>
          </w:tcPr>
          <w:p w14:paraId="50992634" w14:textId="1F06C065" w:rsidR="00E92B9F" w:rsidRPr="00E92B9F" w:rsidRDefault="00E92B9F" w:rsidP="00BF71D5">
            <w:pPr>
              <w:spacing w:before="60" w:after="60"/>
              <w:jc w:val="both"/>
              <w:rPr>
                <w:bCs/>
              </w:rPr>
            </w:pPr>
            <w:r>
              <w:rPr>
                <w:bCs/>
              </w:rPr>
              <w:t>One of the key barriers to dropping out of education/training is the social challenges young people face in building and navigating healthy relationships with peers. Early friendship experiences have a significant impact on future relationships, particularly in how young people learn to trust and become trustworthy. This action aims to support young people to ‘build healthy peer relationships’ and ‘do friendship’. This involves</w:t>
            </w:r>
            <w:r w:rsidR="00146665">
              <w:rPr>
                <w:bCs/>
              </w:rPr>
              <w:t xml:space="preserve">: </w:t>
            </w:r>
            <w:r>
              <w:rPr>
                <w:bCs/>
              </w:rPr>
              <w:t xml:space="preserve">help </w:t>
            </w:r>
            <w:r w:rsidR="00146665">
              <w:rPr>
                <w:bCs/>
              </w:rPr>
              <w:t xml:space="preserve">to recognise </w:t>
            </w:r>
            <w:r>
              <w:rPr>
                <w:bCs/>
              </w:rPr>
              <w:t>features of healthy/unhealthy relationships; support in ending unhealthy relationships and building new relationships; help navigating issues such as</w:t>
            </w:r>
            <w:r w:rsidR="00146665">
              <w:rPr>
                <w:bCs/>
              </w:rPr>
              <w:t xml:space="preserve"> </w:t>
            </w:r>
            <w:r>
              <w:rPr>
                <w:bCs/>
              </w:rPr>
              <w:t>conflict, personal boundaries and juggling social demands with school/work expectations.</w:t>
            </w:r>
          </w:p>
        </w:tc>
      </w:tr>
      <w:tr w:rsidR="00E92B9F" w14:paraId="2B78F112" w14:textId="77777777" w:rsidTr="00961933">
        <w:tc>
          <w:tcPr>
            <w:tcW w:w="1836" w:type="dxa"/>
            <w:shd w:val="clear" w:color="auto" w:fill="FFD966" w:themeFill="accent4" w:themeFillTint="99"/>
            <w:vAlign w:val="center"/>
          </w:tcPr>
          <w:p w14:paraId="377808A5" w14:textId="77777777" w:rsidR="00E92B9F" w:rsidRPr="008675D5" w:rsidRDefault="00E92B9F" w:rsidP="00961933">
            <w:pPr>
              <w:jc w:val="center"/>
              <w:rPr>
                <w:b/>
                <w:bCs/>
                <w:color w:val="0070C0"/>
              </w:rPr>
            </w:pPr>
            <w:r w:rsidRPr="008675D5">
              <w:rPr>
                <w:b/>
                <w:bCs/>
                <w:color w:val="0070C0"/>
              </w:rPr>
              <w:t>Examples</w:t>
            </w:r>
          </w:p>
        </w:tc>
        <w:tc>
          <w:tcPr>
            <w:tcW w:w="7160" w:type="dxa"/>
            <w:shd w:val="clear" w:color="auto" w:fill="FFFFFF" w:themeFill="background1"/>
          </w:tcPr>
          <w:p w14:paraId="43ABA4A7" w14:textId="2567EC17" w:rsidR="00E92B9F" w:rsidRDefault="00E92B9F" w:rsidP="00BF71D5">
            <w:pPr>
              <w:pStyle w:val="ListParagraph"/>
              <w:numPr>
                <w:ilvl w:val="0"/>
                <w:numId w:val="15"/>
              </w:numPr>
              <w:spacing w:before="60" w:after="60" w:line="256" w:lineRule="auto"/>
              <w:jc w:val="both"/>
            </w:pPr>
            <w:r>
              <w:rPr>
                <w:b/>
                <w:bCs/>
                <w:color w:val="4472C4" w:themeColor="accent1"/>
              </w:rPr>
              <w:t>Social and emotional education that recognises the reciprocal dynamics of friendship</w:t>
            </w:r>
            <w:r>
              <w:rPr>
                <w:b/>
              </w:rPr>
              <w:t>:</w:t>
            </w:r>
            <w:r>
              <w:rPr>
                <w:bCs/>
              </w:rPr>
              <w:t xml:space="preserve"> </w:t>
            </w:r>
            <w:r w:rsidR="007F5F9D">
              <w:rPr>
                <w:bCs/>
              </w:rPr>
              <w:t>t</w:t>
            </w:r>
            <w:r>
              <w:t>his includes a critical lens on social and emotional learning programmes that</w:t>
            </w:r>
            <w:r>
              <w:rPr>
                <w:b/>
                <w:bCs/>
                <w:i/>
                <w:iCs/>
              </w:rPr>
              <w:t xml:space="preserve"> </w:t>
            </w:r>
            <w:r>
              <w:t>focus narrowly on individual skills/competencies and overlook the ways in which relationships are co-produced.</w:t>
            </w:r>
          </w:p>
          <w:p w14:paraId="2AD868D2" w14:textId="1B399AC9" w:rsidR="00E92B9F" w:rsidRDefault="00E92B9F" w:rsidP="00BF71D5">
            <w:pPr>
              <w:pStyle w:val="ListParagraph"/>
              <w:numPr>
                <w:ilvl w:val="0"/>
                <w:numId w:val="15"/>
              </w:numPr>
              <w:spacing w:before="60" w:after="60" w:line="256" w:lineRule="auto"/>
              <w:jc w:val="both"/>
            </w:pPr>
            <w:r>
              <w:rPr>
                <w:b/>
                <w:bCs/>
                <w:color w:val="4472C4" w:themeColor="accent1"/>
              </w:rPr>
              <w:t>Education programmes that focus on collective values</w:t>
            </w:r>
            <w:r>
              <w:rPr>
                <w:i/>
                <w:iCs/>
              </w:rPr>
              <w:t xml:space="preserve">: </w:t>
            </w:r>
            <w:r w:rsidR="009078C0">
              <w:t>v</w:t>
            </w:r>
            <w:r>
              <w:t>alues</w:t>
            </w:r>
            <w:r w:rsidR="00326284">
              <w:t xml:space="preserve"> to focus on are</w:t>
            </w:r>
            <w:r>
              <w:t xml:space="preserve"> negotiated with young people but could include respect, empathy, social boundaries and tolerance.</w:t>
            </w:r>
          </w:p>
          <w:p w14:paraId="70489494" w14:textId="490ECF8C" w:rsidR="00E92B9F" w:rsidRPr="00E92B9F" w:rsidRDefault="00E92B9F" w:rsidP="00BF71D5">
            <w:pPr>
              <w:pStyle w:val="ListParagraph"/>
              <w:numPr>
                <w:ilvl w:val="0"/>
                <w:numId w:val="15"/>
              </w:numPr>
              <w:spacing w:before="60" w:after="60" w:line="256" w:lineRule="auto"/>
              <w:jc w:val="both"/>
              <w:rPr>
                <w:bCs/>
                <w:i/>
                <w:iCs/>
                <w:sz w:val="20"/>
                <w:szCs w:val="20"/>
              </w:rPr>
            </w:pPr>
            <w:r>
              <w:rPr>
                <w:b/>
                <w:bCs/>
                <w:color w:val="4472C4" w:themeColor="accent1"/>
              </w:rPr>
              <w:t>Transparent</w:t>
            </w:r>
            <w:r w:rsidR="000E33CB">
              <w:rPr>
                <w:b/>
                <w:bCs/>
                <w:color w:val="4472C4" w:themeColor="accent1"/>
              </w:rPr>
              <w:t xml:space="preserve">, </w:t>
            </w:r>
            <w:r>
              <w:rPr>
                <w:b/>
                <w:bCs/>
                <w:color w:val="4472C4" w:themeColor="accent1"/>
              </w:rPr>
              <w:t>consistent</w:t>
            </w:r>
            <w:r w:rsidR="000E33CB">
              <w:rPr>
                <w:b/>
                <w:bCs/>
                <w:color w:val="4472C4" w:themeColor="accent1"/>
              </w:rPr>
              <w:t>,</w:t>
            </w:r>
            <w:r>
              <w:rPr>
                <w:b/>
                <w:bCs/>
                <w:color w:val="4472C4" w:themeColor="accent1"/>
              </w:rPr>
              <w:t xml:space="preserve"> student-reviewed anti-bullying policy:</w:t>
            </w:r>
            <w:r>
              <w:rPr>
                <w:b/>
                <w:i/>
                <w:iCs/>
              </w:rPr>
              <w:t xml:space="preserve"> </w:t>
            </w:r>
            <w:r w:rsidR="00F632BB">
              <w:rPr>
                <w:bCs/>
              </w:rPr>
              <w:t>this</w:t>
            </w:r>
            <w:r>
              <w:rPr>
                <w:bCs/>
              </w:rPr>
              <w:t xml:space="preserve"> recognises the various forms bullying takes (e.g. physical, verbal, ‘cyber’, ‘relational’ and ‘micro’ aggressions).</w:t>
            </w:r>
          </w:p>
        </w:tc>
      </w:tr>
    </w:tbl>
    <w:p w14:paraId="2D0A5C3E" w14:textId="0181850D" w:rsidR="00424051" w:rsidRDefault="00424051" w:rsidP="00424051"/>
    <w:p w14:paraId="60DA04FC" w14:textId="26FE1968" w:rsidR="00424051" w:rsidRDefault="00424051" w:rsidP="00424051"/>
    <w:p w14:paraId="7D217242" w14:textId="0729591F" w:rsidR="00424051" w:rsidRDefault="00424051" w:rsidP="00424051"/>
    <w:sectPr w:rsidR="00424051" w:rsidSect="004250E8">
      <w:footerReference w:type="even" r:id="rId12"/>
      <w:footerReference w:type="default" r:id="rId13"/>
      <w:pgSz w:w="11906" w:h="16838"/>
      <w:pgMar w:top="1440" w:right="1080" w:bottom="1440" w:left="1080" w:header="5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4FBF" w14:textId="77777777" w:rsidR="00BA1AFE" w:rsidRDefault="00BA1AFE" w:rsidP="009D78D3">
      <w:pPr>
        <w:spacing w:after="0" w:line="240" w:lineRule="auto"/>
      </w:pPr>
      <w:r>
        <w:separator/>
      </w:r>
    </w:p>
  </w:endnote>
  <w:endnote w:type="continuationSeparator" w:id="0">
    <w:p w14:paraId="6B1A3E7B" w14:textId="77777777" w:rsidR="00BA1AFE" w:rsidRDefault="00BA1AFE" w:rsidP="009D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401272"/>
      <w:docPartObj>
        <w:docPartGallery w:val="Page Numbers (Bottom of Page)"/>
        <w:docPartUnique/>
      </w:docPartObj>
    </w:sdtPr>
    <w:sdtEndPr>
      <w:rPr>
        <w:rStyle w:val="PageNumber"/>
      </w:rPr>
    </w:sdtEndPr>
    <w:sdtContent>
      <w:p w14:paraId="2590CE69" w14:textId="764656E0" w:rsidR="009D78D3" w:rsidRDefault="009D78D3" w:rsidP="00E40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50E8">
          <w:rPr>
            <w:rStyle w:val="PageNumber"/>
            <w:noProof/>
          </w:rPr>
          <w:t>1</w:t>
        </w:r>
        <w:r>
          <w:rPr>
            <w:rStyle w:val="PageNumber"/>
          </w:rPr>
          <w:fldChar w:fldCharType="end"/>
        </w:r>
      </w:p>
    </w:sdtContent>
  </w:sdt>
  <w:p w14:paraId="69881B6B" w14:textId="77777777" w:rsidR="009D78D3" w:rsidRDefault="009D78D3" w:rsidP="009D78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573000"/>
      <w:docPartObj>
        <w:docPartGallery w:val="Page Numbers (Bottom of Page)"/>
        <w:docPartUnique/>
      </w:docPartObj>
    </w:sdtPr>
    <w:sdtEndPr>
      <w:rPr>
        <w:noProof/>
      </w:rPr>
    </w:sdtEndPr>
    <w:sdtContent>
      <w:p w14:paraId="672335B9" w14:textId="04E1C553" w:rsidR="00D4111D" w:rsidRDefault="00D411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BAA59" w14:textId="77777777" w:rsidR="009D78D3" w:rsidRDefault="009D78D3" w:rsidP="009D78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B573" w14:textId="77777777" w:rsidR="00BA1AFE" w:rsidRDefault="00BA1AFE" w:rsidP="009D78D3">
      <w:pPr>
        <w:spacing w:after="0" w:line="240" w:lineRule="auto"/>
      </w:pPr>
      <w:r>
        <w:separator/>
      </w:r>
    </w:p>
  </w:footnote>
  <w:footnote w:type="continuationSeparator" w:id="0">
    <w:p w14:paraId="47BF70EA" w14:textId="77777777" w:rsidR="00BA1AFE" w:rsidRDefault="00BA1AFE" w:rsidP="009D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66C"/>
    <w:multiLevelType w:val="multilevel"/>
    <w:tmpl w:val="8E14F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1A8B"/>
    <w:multiLevelType w:val="hybridMultilevel"/>
    <w:tmpl w:val="D7206C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7A3C25"/>
    <w:multiLevelType w:val="hybridMultilevel"/>
    <w:tmpl w:val="F7C49A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BB46FDF"/>
    <w:multiLevelType w:val="hybridMultilevel"/>
    <w:tmpl w:val="F8B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04D78"/>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A244F7"/>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D161C5"/>
    <w:multiLevelType w:val="hybridMultilevel"/>
    <w:tmpl w:val="1C38D9CA"/>
    <w:lvl w:ilvl="0" w:tplc="A45C0374">
      <w:start w:val="1"/>
      <w:numFmt w:val="bullet"/>
      <w:lvlText w:val="­"/>
      <w:lvlJc w:val="left"/>
      <w:pPr>
        <w:ind w:left="1068" w:hanging="360"/>
      </w:pPr>
      <w:rPr>
        <w:rFonts w:ascii="Courier New" w:hAnsi="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15:restartNumberingAfterBreak="0">
    <w:nsid w:val="3C990A21"/>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EB0EF1"/>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C72D87"/>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100820"/>
    <w:multiLevelType w:val="hybridMultilevel"/>
    <w:tmpl w:val="C0C87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2B289A"/>
    <w:multiLevelType w:val="hybridMultilevel"/>
    <w:tmpl w:val="9AA8C9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FA7B67"/>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3B5260"/>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151510">
    <w:abstractNumId w:val="3"/>
  </w:num>
  <w:num w:numId="2" w16cid:durableId="697700617">
    <w:abstractNumId w:val="11"/>
  </w:num>
  <w:num w:numId="3" w16cid:durableId="309361986">
    <w:abstractNumId w:val="1"/>
  </w:num>
  <w:num w:numId="4" w16cid:durableId="2075153483">
    <w:abstractNumId w:val="8"/>
  </w:num>
  <w:num w:numId="5" w16cid:durableId="1434590850">
    <w:abstractNumId w:val="0"/>
  </w:num>
  <w:num w:numId="6" w16cid:durableId="1121800849">
    <w:abstractNumId w:val="2"/>
  </w:num>
  <w:num w:numId="7" w16cid:durableId="1918442217">
    <w:abstractNumId w:val="6"/>
  </w:num>
  <w:num w:numId="8" w16cid:durableId="830023336">
    <w:abstractNumId w:val="12"/>
  </w:num>
  <w:num w:numId="9" w16cid:durableId="1976059688">
    <w:abstractNumId w:val="7"/>
  </w:num>
  <w:num w:numId="10" w16cid:durableId="1065949978">
    <w:abstractNumId w:val="10"/>
  </w:num>
  <w:num w:numId="11" w16cid:durableId="801966008">
    <w:abstractNumId w:val="9"/>
  </w:num>
  <w:num w:numId="12" w16cid:durableId="228538452">
    <w:abstractNumId w:val="13"/>
  </w:num>
  <w:num w:numId="13" w16cid:durableId="1797403726">
    <w:abstractNumId w:val="4"/>
  </w:num>
  <w:num w:numId="14" w16cid:durableId="385222411">
    <w:abstractNumId w:val="5"/>
  </w:num>
  <w:num w:numId="15" w16cid:durableId="1175537918">
    <w:abstractNumId w:val="11"/>
  </w:num>
  <w:num w:numId="16" w16cid:durableId="578635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15"/>
    <w:rsid w:val="00002008"/>
    <w:rsid w:val="00017D9F"/>
    <w:rsid w:val="0004034A"/>
    <w:rsid w:val="0004256B"/>
    <w:rsid w:val="00050A74"/>
    <w:rsid w:val="00056069"/>
    <w:rsid w:val="00074E39"/>
    <w:rsid w:val="000773F7"/>
    <w:rsid w:val="000862F1"/>
    <w:rsid w:val="00087FA4"/>
    <w:rsid w:val="000936AC"/>
    <w:rsid w:val="00094F90"/>
    <w:rsid w:val="000A50C2"/>
    <w:rsid w:val="000C13A2"/>
    <w:rsid w:val="000D2F0C"/>
    <w:rsid w:val="000E33CB"/>
    <w:rsid w:val="000F63F0"/>
    <w:rsid w:val="00110356"/>
    <w:rsid w:val="00113563"/>
    <w:rsid w:val="00122153"/>
    <w:rsid w:val="00123884"/>
    <w:rsid w:val="00136096"/>
    <w:rsid w:val="00146665"/>
    <w:rsid w:val="001776EA"/>
    <w:rsid w:val="00187CD4"/>
    <w:rsid w:val="001A248D"/>
    <w:rsid w:val="001C33AC"/>
    <w:rsid w:val="001C6752"/>
    <w:rsid w:val="001D0D1D"/>
    <w:rsid w:val="001D65AE"/>
    <w:rsid w:val="001E55FB"/>
    <w:rsid w:val="00200474"/>
    <w:rsid w:val="0021502D"/>
    <w:rsid w:val="002569B0"/>
    <w:rsid w:val="00266906"/>
    <w:rsid w:val="00267245"/>
    <w:rsid w:val="002C1CB1"/>
    <w:rsid w:val="002D2822"/>
    <w:rsid w:val="002F2CB6"/>
    <w:rsid w:val="002F463A"/>
    <w:rsid w:val="002F7A3A"/>
    <w:rsid w:val="00307084"/>
    <w:rsid w:val="00326284"/>
    <w:rsid w:val="00330538"/>
    <w:rsid w:val="00365516"/>
    <w:rsid w:val="00371F8E"/>
    <w:rsid w:val="00372909"/>
    <w:rsid w:val="0037788B"/>
    <w:rsid w:val="00386987"/>
    <w:rsid w:val="00386CD3"/>
    <w:rsid w:val="00391B30"/>
    <w:rsid w:val="003A1268"/>
    <w:rsid w:val="003D31F2"/>
    <w:rsid w:val="003E0501"/>
    <w:rsid w:val="00403BA9"/>
    <w:rsid w:val="00424051"/>
    <w:rsid w:val="004250E8"/>
    <w:rsid w:val="00432C7D"/>
    <w:rsid w:val="0045427B"/>
    <w:rsid w:val="00457B4A"/>
    <w:rsid w:val="00473268"/>
    <w:rsid w:val="00473A58"/>
    <w:rsid w:val="004771E6"/>
    <w:rsid w:val="004844E3"/>
    <w:rsid w:val="004879E4"/>
    <w:rsid w:val="004973FB"/>
    <w:rsid w:val="004E1BB0"/>
    <w:rsid w:val="004E1BBB"/>
    <w:rsid w:val="004E6511"/>
    <w:rsid w:val="005222FF"/>
    <w:rsid w:val="00535AF7"/>
    <w:rsid w:val="0054211D"/>
    <w:rsid w:val="0055073D"/>
    <w:rsid w:val="00552D15"/>
    <w:rsid w:val="00557DE5"/>
    <w:rsid w:val="00571870"/>
    <w:rsid w:val="0057501D"/>
    <w:rsid w:val="00575E18"/>
    <w:rsid w:val="00583682"/>
    <w:rsid w:val="005A34B9"/>
    <w:rsid w:val="005B2B18"/>
    <w:rsid w:val="005B6167"/>
    <w:rsid w:val="005E2027"/>
    <w:rsid w:val="005E3B70"/>
    <w:rsid w:val="005F0361"/>
    <w:rsid w:val="005F3DB5"/>
    <w:rsid w:val="0060153D"/>
    <w:rsid w:val="0060594E"/>
    <w:rsid w:val="00613D80"/>
    <w:rsid w:val="0061747B"/>
    <w:rsid w:val="00624970"/>
    <w:rsid w:val="00630912"/>
    <w:rsid w:val="00631FB5"/>
    <w:rsid w:val="006611C5"/>
    <w:rsid w:val="006739AB"/>
    <w:rsid w:val="0068196A"/>
    <w:rsid w:val="006A295B"/>
    <w:rsid w:val="00701117"/>
    <w:rsid w:val="00701970"/>
    <w:rsid w:val="00707F17"/>
    <w:rsid w:val="00720717"/>
    <w:rsid w:val="007237B2"/>
    <w:rsid w:val="00726E85"/>
    <w:rsid w:val="00765FD9"/>
    <w:rsid w:val="007712DC"/>
    <w:rsid w:val="00775B92"/>
    <w:rsid w:val="007857E9"/>
    <w:rsid w:val="00793544"/>
    <w:rsid w:val="007939C1"/>
    <w:rsid w:val="007B66B1"/>
    <w:rsid w:val="007D725D"/>
    <w:rsid w:val="007F313F"/>
    <w:rsid w:val="007F5F9D"/>
    <w:rsid w:val="007F7E57"/>
    <w:rsid w:val="00801252"/>
    <w:rsid w:val="00834E9F"/>
    <w:rsid w:val="00837AF2"/>
    <w:rsid w:val="0084128E"/>
    <w:rsid w:val="0086604E"/>
    <w:rsid w:val="008675D5"/>
    <w:rsid w:val="00871476"/>
    <w:rsid w:val="008A5566"/>
    <w:rsid w:val="008A7469"/>
    <w:rsid w:val="008C19B8"/>
    <w:rsid w:val="008D03FE"/>
    <w:rsid w:val="008E3608"/>
    <w:rsid w:val="009005B4"/>
    <w:rsid w:val="009078C0"/>
    <w:rsid w:val="00914839"/>
    <w:rsid w:val="0093280D"/>
    <w:rsid w:val="0094716B"/>
    <w:rsid w:val="00954947"/>
    <w:rsid w:val="00965731"/>
    <w:rsid w:val="00982367"/>
    <w:rsid w:val="00996C7B"/>
    <w:rsid w:val="009A0B8B"/>
    <w:rsid w:val="009A71EA"/>
    <w:rsid w:val="009B4957"/>
    <w:rsid w:val="009D7203"/>
    <w:rsid w:val="009D78D3"/>
    <w:rsid w:val="009D7A65"/>
    <w:rsid w:val="009E580C"/>
    <w:rsid w:val="009F2AA6"/>
    <w:rsid w:val="00A151C5"/>
    <w:rsid w:val="00A25F95"/>
    <w:rsid w:val="00A33A94"/>
    <w:rsid w:val="00A36778"/>
    <w:rsid w:val="00A43BE9"/>
    <w:rsid w:val="00A47280"/>
    <w:rsid w:val="00A6055C"/>
    <w:rsid w:val="00A63077"/>
    <w:rsid w:val="00A636DB"/>
    <w:rsid w:val="00A71A15"/>
    <w:rsid w:val="00A737EA"/>
    <w:rsid w:val="00A742BE"/>
    <w:rsid w:val="00A86615"/>
    <w:rsid w:val="00A86EDD"/>
    <w:rsid w:val="00A9159D"/>
    <w:rsid w:val="00AA17AD"/>
    <w:rsid w:val="00AA3DF0"/>
    <w:rsid w:val="00AD14F2"/>
    <w:rsid w:val="00AF10CB"/>
    <w:rsid w:val="00AF1AD3"/>
    <w:rsid w:val="00B03B62"/>
    <w:rsid w:val="00B12D50"/>
    <w:rsid w:val="00B359C0"/>
    <w:rsid w:val="00B56C6B"/>
    <w:rsid w:val="00B6206C"/>
    <w:rsid w:val="00B71F14"/>
    <w:rsid w:val="00B8662F"/>
    <w:rsid w:val="00B86F13"/>
    <w:rsid w:val="00B951AE"/>
    <w:rsid w:val="00B974BF"/>
    <w:rsid w:val="00BA1AFE"/>
    <w:rsid w:val="00BD476B"/>
    <w:rsid w:val="00BF058C"/>
    <w:rsid w:val="00BF5971"/>
    <w:rsid w:val="00BF71D5"/>
    <w:rsid w:val="00C11B68"/>
    <w:rsid w:val="00C20190"/>
    <w:rsid w:val="00C3386B"/>
    <w:rsid w:val="00C51EA5"/>
    <w:rsid w:val="00C6371B"/>
    <w:rsid w:val="00C64A97"/>
    <w:rsid w:val="00C91E60"/>
    <w:rsid w:val="00C9344F"/>
    <w:rsid w:val="00CA0130"/>
    <w:rsid w:val="00CB08F0"/>
    <w:rsid w:val="00CB34BE"/>
    <w:rsid w:val="00CB5BE8"/>
    <w:rsid w:val="00CD02D5"/>
    <w:rsid w:val="00CD67CA"/>
    <w:rsid w:val="00CE259C"/>
    <w:rsid w:val="00CF2A6F"/>
    <w:rsid w:val="00CF4D76"/>
    <w:rsid w:val="00D00542"/>
    <w:rsid w:val="00D01B86"/>
    <w:rsid w:val="00D0346A"/>
    <w:rsid w:val="00D10A3A"/>
    <w:rsid w:val="00D22A09"/>
    <w:rsid w:val="00D30E8B"/>
    <w:rsid w:val="00D4111D"/>
    <w:rsid w:val="00D41A57"/>
    <w:rsid w:val="00D435B5"/>
    <w:rsid w:val="00D446E5"/>
    <w:rsid w:val="00D46C7A"/>
    <w:rsid w:val="00D51B7D"/>
    <w:rsid w:val="00D62508"/>
    <w:rsid w:val="00D62954"/>
    <w:rsid w:val="00D64F4F"/>
    <w:rsid w:val="00D85AC9"/>
    <w:rsid w:val="00DA1D74"/>
    <w:rsid w:val="00DB2E6F"/>
    <w:rsid w:val="00DE0D1B"/>
    <w:rsid w:val="00E0067F"/>
    <w:rsid w:val="00E107CC"/>
    <w:rsid w:val="00E153FD"/>
    <w:rsid w:val="00E16D29"/>
    <w:rsid w:val="00E260EC"/>
    <w:rsid w:val="00E474D5"/>
    <w:rsid w:val="00E55068"/>
    <w:rsid w:val="00E63E39"/>
    <w:rsid w:val="00E65F66"/>
    <w:rsid w:val="00E7488E"/>
    <w:rsid w:val="00E7538B"/>
    <w:rsid w:val="00E859A1"/>
    <w:rsid w:val="00E92B9F"/>
    <w:rsid w:val="00EA22C5"/>
    <w:rsid w:val="00EA47FB"/>
    <w:rsid w:val="00EB0E0C"/>
    <w:rsid w:val="00EB6FA7"/>
    <w:rsid w:val="00EC48C1"/>
    <w:rsid w:val="00ED7D89"/>
    <w:rsid w:val="00F057C1"/>
    <w:rsid w:val="00F10029"/>
    <w:rsid w:val="00F1122E"/>
    <w:rsid w:val="00F12026"/>
    <w:rsid w:val="00F35D2D"/>
    <w:rsid w:val="00F37E71"/>
    <w:rsid w:val="00F632BB"/>
    <w:rsid w:val="00F6423C"/>
    <w:rsid w:val="00F71199"/>
    <w:rsid w:val="00F815AF"/>
    <w:rsid w:val="00F820A9"/>
    <w:rsid w:val="00F9395B"/>
    <w:rsid w:val="00FB2CEF"/>
    <w:rsid w:val="00FB3CD4"/>
    <w:rsid w:val="00FB3F68"/>
    <w:rsid w:val="00FC32D3"/>
    <w:rsid w:val="00FC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7442"/>
  <w15:chartTrackingRefBased/>
  <w15:docId w15:val="{557EDA97-2B55-43A9-8BC7-B9508EB2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29"/>
  </w:style>
  <w:style w:type="paragraph" w:styleId="Heading1">
    <w:name w:val="heading 1"/>
    <w:basedOn w:val="Normal"/>
    <w:next w:val="Normal"/>
    <w:link w:val="Heading1Char"/>
    <w:uiPriority w:val="9"/>
    <w:qFormat/>
    <w:rsid w:val="00D51B7D"/>
    <w:pPr>
      <w:keepNext/>
      <w:keepLines/>
      <w:spacing w:after="0"/>
      <w:jc w:val="center"/>
      <w:outlineLvl w:val="0"/>
    </w:pPr>
    <w:rPr>
      <w:rFonts w:eastAsiaTheme="majorEastAsia" w:cstheme="majorBidi"/>
      <w:b/>
      <w:color w:val="4472C4"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BF"/>
    <w:pPr>
      <w:ind w:left="720"/>
      <w:contextualSpacing/>
    </w:pPr>
  </w:style>
  <w:style w:type="character" w:styleId="CommentReference">
    <w:name w:val="annotation reference"/>
    <w:basedOn w:val="DefaultParagraphFont"/>
    <w:uiPriority w:val="99"/>
    <w:semiHidden/>
    <w:unhideWhenUsed/>
    <w:rsid w:val="00583682"/>
    <w:rPr>
      <w:sz w:val="16"/>
      <w:szCs w:val="16"/>
    </w:rPr>
  </w:style>
  <w:style w:type="paragraph" w:styleId="CommentText">
    <w:name w:val="annotation text"/>
    <w:basedOn w:val="Normal"/>
    <w:link w:val="CommentTextChar"/>
    <w:uiPriority w:val="99"/>
    <w:semiHidden/>
    <w:unhideWhenUsed/>
    <w:rsid w:val="00583682"/>
    <w:pPr>
      <w:spacing w:line="240" w:lineRule="auto"/>
    </w:pPr>
    <w:rPr>
      <w:sz w:val="20"/>
      <w:szCs w:val="20"/>
    </w:rPr>
  </w:style>
  <w:style w:type="character" w:customStyle="1" w:styleId="CommentTextChar">
    <w:name w:val="Comment Text Char"/>
    <w:basedOn w:val="DefaultParagraphFont"/>
    <w:link w:val="CommentText"/>
    <w:uiPriority w:val="99"/>
    <w:semiHidden/>
    <w:rsid w:val="00583682"/>
    <w:rPr>
      <w:sz w:val="20"/>
      <w:szCs w:val="20"/>
    </w:rPr>
  </w:style>
  <w:style w:type="paragraph" w:styleId="CommentSubject">
    <w:name w:val="annotation subject"/>
    <w:basedOn w:val="CommentText"/>
    <w:next w:val="CommentText"/>
    <w:link w:val="CommentSubjectChar"/>
    <w:uiPriority w:val="99"/>
    <w:semiHidden/>
    <w:unhideWhenUsed/>
    <w:rsid w:val="00583682"/>
    <w:rPr>
      <w:b/>
      <w:bCs/>
    </w:rPr>
  </w:style>
  <w:style w:type="character" w:customStyle="1" w:styleId="CommentSubjectChar">
    <w:name w:val="Comment Subject Char"/>
    <w:basedOn w:val="CommentTextChar"/>
    <w:link w:val="CommentSubject"/>
    <w:uiPriority w:val="99"/>
    <w:semiHidden/>
    <w:rsid w:val="00583682"/>
    <w:rPr>
      <w:b/>
      <w:bCs/>
      <w:sz w:val="20"/>
      <w:szCs w:val="20"/>
    </w:rPr>
  </w:style>
  <w:style w:type="paragraph" w:styleId="BalloonText">
    <w:name w:val="Balloon Text"/>
    <w:basedOn w:val="Normal"/>
    <w:link w:val="BalloonTextChar"/>
    <w:uiPriority w:val="99"/>
    <w:semiHidden/>
    <w:unhideWhenUsed/>
    <w:rsid w:val="00583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82"/>
    <w:rPr>
      <w:rFonts w:ascii="Segoe UI" w:hAnsi="Segoe UI" w:cs="Segoe UI"/>
      <w:sz w:val="18"/>
      <w:szCs w:val="18"/>
    </w:rPr>
  </w:style>
  <w:style w:type="table" w:styleId="GridTable4-Accent4">
    <w:name w:val="Grid Table 4 Accent 4"/>
    <w:basedOn w:val="TableNormal"/>
    <w:uiPriority w:val="49"/>
    <w:rsid w:val="00954947"/>
    <w:pPr>
      <w:spacing w:after="0" w:line="240" w:lineRule="auto"/>
    </w:pPr>
    <w:rPr>
      <w:lang w:val="ca-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er">
    <w:name w:val="footer"/>
    <w:basedOn w:val="Normal"/>
    <w:link w:val="FooterChar"/>
    <w:uiPriority w:val="99"/>
    <w:unhideWhenUsed/>
    <w:rsid w:val="009D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D3"/>
  </w:style>
  <w:style w:type="character" w:styleId="PageNumber">
    <w:name w:val="page number"/>
    <w:basedOn w:val="DefaultParagraphFont"/>
    <w:uiPriority w:val="99"/>
    <w:semiHidden/>
    <w:unhideWhenUsed/>
    <w:rsid w:val="009D78D3"/>
  </w:style>
  <w:style w:type="table" w:styleId="TableGrid">
    <w:name w:val="Table Grid"/>
    <w:basedOn w:val="TableNormal"/>
    <w:uiPriority w:val="39"/>
    <w:rsid w:val="0086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1B7D"/>
    <w:rPr>
      <w:rFonts w:eastAsiaTheme="majorEastAsia" w:cstheme="majorBidi"/>
      <w:b/>
      <w:color w:val="4472C4" w:themeColor="accent1"/>
      <w:sz w:val="28"/>
      <w:szCs w:val="32"/>
    </w:rPr>
  </w:style>
  <w:style w:type="paragraph" w:styleId="TOCHeading">
    <w:name w:val="TOC Heading"/>
    <w:basedOn w:val="Heading1"/>
    <w:next w:val="Normal"/>
    <w:uiPriority w:val="39"/>
    <w:unhideWhenUsed/>
    <w:qFormat/>
    <w:rsid w:val="00D51B7D"/>
    <w:pPr>
      <w:outlineLvl w:val="9"/>
    </w:pPr>
    <w:rPr>
      <w:lang w:val="en-US"/>
    </w:rPr>
  </w:style>
  <w:style w:type="paragraph" w:styleId="TOC1">
    <w:name w:val="toc 1"/>
    <w:basedOn w:val="Normal"/>
    <w:next w:val="Normal"/>
    <w:autoRedefine/>
    <w:uiPriority w:val="39"/>
    <w:unhideWhenUsed/>
    <w:rsid w:val="00D51B7D"/>
    <w:pPr>
      <w:spacing w:after="100"/>
    </w:pPr>
  </w:style>
  <w:style w:type="character" w:styleId="Hyperlink">
    <w:name w:val="Hyperlink"/>
    <w:basedOn w:val="DefaultParagraphFont"/>
    <w:uiPriority w:val="99"/>
    <w:unhideWhenUsed/>
    <w:rsid w:val="00D51B7D"/>
    <w:rPr>
      <w:color w:val="0563C1" w:themeColor="hyperlink"/>
      <w:u w:val="single"/>
    </w:rPr>
  </w:style>
  <w:style w:type="paragraph" w:styleId="Header">
    <w:name w:val="header"/>
    <w:basedOn w:val="Normal"/>
    <w:link w:val="HeaderChar"/>
    <w:uiPriority w:val="99"/>
    <w:unhideWhenUsed/>
    <w:rsid w:val="00D41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1D"/>
  </w:style>
  <w:style w:type="character" w:styleId="UnresolvedMention">
    <w:name w:val="Unresolved Mention"/>
    <w:basedOn w:val="DefaultParagraphFont"/>
    <w:uiPriority w:val="99"/>
    <w:semiHidden/>
    <w:unhideWhenUsed/>
    <w:rsid w:val="00DB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025">
      <w:bodyDiv w:val="1"/>
      <w:marLeft w:val="0"/>
      <w:marRight w:val="0"/>
      <w:marTop w:val="0"/>
      <w:marBottom w:val="0"/>
      <w:divBdr>
        <w:top w:val="none" w:sz="0" w:space="0" w:color="auto"/>
        <w:left w:val="none" w:sz="0" w:space="0" w:color="auto"/>
        <w:bottom w:val="none" w:sz="0" w:space="0" w:color="auto"/>
        <w:right w:val="none" w:sz="0" w:space="0" w:color="auto"/>
      </w:divBdr>
    </w:div>
    <w:div w:id="175927646">
      <w:bodyDiv w:val="1"/>
      <w:marLeft w:val="0"/>
      <w:marRight w:val="0"/>
      <w:marTop w:val="0"/>
      <w:marBottom w:val="0"/>
      <w:divBdr>
        <w:top w:val="none" w:sz="0" w:space="0" w:color="auto"/>
        <w:left w:val="none" w:sz="0" w:space="0" w:color="auto"/>
        <w:bottom w:val="none" w:sz="0" w:space="0" w:color="auto"/>
        <w:right w:val="none" w:sz="0" w:space="0" w:color="auto"/>
      </w:divBdr>
    </w:div>
    <w:div w:id="193857825">
      <w:bodyDiv w:val="1"/>
      <w:marLeft w:val="0"/>
      <w:marRight w:val="0"/>
      <w:marTop w:val="0"/>
      <w:marBottom w:val="0"/>
      <w:divBdr>
        <w:top w:val="none" w:sz="0" w:space="0" w:color="auto"/>
        <w:left w:val="none" w:sz="0" w:space="0" w:color="auto"/>
        <w:bottom w:val="none" w:sz="0" w:space="0" w:color="auto"/>
        <w:right w:val="none" w:sz="0" w:space="0" w:color="auto"/>
      </w:divBdr>
    </w:div>
    <w:div w:id="315645004">
      <w:bodyDiv w:val="1"/>
      <w:marLeft w:val="0"/>
      <w:marRight w:val="0"/>
      <w:marTop w:val="0"/>
      <w:marBottom w:val="0"/>
      <w:divBdr>
        <w:top w:val="none" w:sz="0" w:space="0" w:color="auto"/>
        <w:left w:val="none" w:sz="0" w:space="0" w:color="auto"/>
        <w:bottom w:val="none" w:sz="0" w:space="0" w:color="auto"/>
        <w:right w:val="none" w:sz="0" w:space="0" w:color="auto"/>
      </w:divBdr>
    </w:div>
    <w:div w:id="370761797">
      <w:bodyDiv w:val="1"/>
      <w:marLeft w:val="0"/>
      <w:marRight w:val="0"/>
      <w:marTop w:val="0"/>
      <w:marBottom w:val="0"/>
      <w:divBdr>
        <w:top w:val="none" w:sz="0" w:space="0" w:color="auto"/>
        <w:left w:val="none" w:sz="0" w:space="0" w:color="auto"/>
        <w:bottom w:val="none" w:sz="0" w:space="0" w:color="auto"/>
        <w:right w:val="none" w:sz="0" w:space="0" w:color="auto"/>
      </w:divBdr>
    </w:div>
    <w:div w:id="376466097">
      <w:bodyDiv w:val="1"/>
      <w:marLeft w:val="0"/>
      <w:marRight w:val="0"/>
      <w:marTop w:val="0"/>
      <w:marBottom w:val="0"/>
      <w:divBdr>
        <w:top w:val="none" w:sz="0" w:space="0" w:color="auto"/>
        <w:left w:val="none" w:sz="0" w:space="0" w:color="auto"/>
        <w:bottom w:val="none" w:sz="0" w:space="0" w:color="auto"/>
        <w:right w:val="none" w:sz="0" w:space="0" w:color="auto"/>
      </w:divBdr>
    </w:div>
    <w:div w:id="511263598">
      <w:bodyDiv w:val="1"/>
      <w:marLeft w:val="0"/>
      <w:marRight w:val="0"/>
      <w:marTop w:val="0"/>
      <w:marBottom w:val="0"/>
      <w:divBdr>
        <w:top w:val="none" w:sz="0" w:space="0" w:color="auto"/>
        <w:left w:val="none" w:sz="0" w:space="0" w:color="auto"/>
        <w:bottom w:val="none" w:sz="0" w:space="0" w:color="auto"/>
        <w:right w:val="none" w:sz="0" w:space="0" w:color="auto"/>
      </w:divBdr>
    </w:div>
    <w:div w:id="519129691">
      <w:bodyDiv w:val="1"/>
      <w:marLeft w:val="0"/>
      <w:marRight w:val="0"/>
      <w:marTop w:val="0"/>
      <w:marBottom w:val="0"/>
      <w:divBdr>
        <w:top w:val="none" w:sz="0" w:space="0" w:color="auto"/>
        <w:left w:val="none" w:sz="0" w:space="0" w:color="auto"/>
        <w:bottom w:val="none" w:sz="0" w:space="0" w:color="auto"/>
        <w:right w:val="none" w:sz="0" w:space="0" w:color="auto"/>
      </w:divBdr>
    </w:div>
    <w:div w:id="523397211">
      <w:bodyDiv w:val="1"/>
      <w:marLeft w:val="0"/>
      <w:marRight w:val="0"/>
      <w:marTop w:val="0"/>
      <w:marBottom w:val="0"/>
      <w:divBdr>
        <w:top w:val="none" w:sz="0" w:space="0" w:color="auto"/>
        <w:left w:val="none" w:sz="0" w:space="0" w:color="auto"/>
        <w:bottom w:val="none" w:sz="0" w:space="0" w:color="auto"/>
        <w:right w:val="none" w:sz="0" w:space="0" w:color="auto"/>
      </w:divBdr>
    </w:div>
    <w:div w:id="626394547">
      <w:bodyDiv w:val="1"/>
      <w:marLeft w:val="0"/>
      <w:marRight w:val="0"/>
      <w:marTop w:val="0"/>
      <w:marBottom w:val="0"/>
      <w:divBdr>
        <w:top w:val="none" w:sz="0" w:space="0" w:color="auto"/>
        <w:left w:val="none" w:sz="0" w:space="0" w:color="auto"/>
        <w:bottom w:val="none" w:sz="0" w:space="0" w:color="auto"/>
        <w:right w:val="none" w:sz="0" w:space="0" w:color="auto"/>
      </w:divBdr>
    </w:div>
    <w:div w:id="680855079">
      <w:bodyDiv w:val="1"/>
      <w:marLeft w:val="0"/>
      <w:marRight w:val="0"/>
      <w:marTop w:val="0"/>
      <w:marBottom w:val="0"/>
      <w:divBdr>
        <w:top w:val="none" w:sz="0" w:space="0" w:color="auto"/>
        <w:left w:val="none" w:sz="0" w:space="0" w:color="auto"/>
        <w:bottom w:val="none" w:sz="0" w:space="0" w:color="auto"/>
        <w:right w:val="none" w:sz="0" w:space="0" w:color="auto"/>
      </w:divBdr>
    </w:div>
    <w:div w:id="693925622">
      <w:bodyDiv w:val="1"/>
      <w:marLeft w:val="0"/>
      <w:marRight w:val="0"/>
      <w:marTop w:val="0"/>
      <w:marBottom w:val="0"/>
      <w:divBdr>
        <w:top w:val="none" w:sz="0" w:space="0" w:color="auto"/>
        <w:left w:val="none" w:sz="0" w:space="0" w:color="auto"/>
        <w:bottom w:val="none" w:sz="0" w:space="0" w:color="auto"/>
        <w:right w:val="none" w:sz="0" w:space="0" w:color="auto"/>
      </w:divBdr>
    </w:div>
    <w:div w:id="718669069">
      <w:bodyDiv w:val="1"/>
      <w:marLeft w:val="0"/>
      <w:marRight w:val="0"/>
      <w:marTop w:val="0"/>
      <w:marBottom w:val="0"/>
      <w:divBdr>
        <w:top w:val="none" w:sz="0" w:space="0" w:color="auto"/>
        <w:left w:val="none" w:sz="0" w:space="0" w:color="auto"/>
        <w:bottom w:val="none" w:sz="0" w:space="0" w:color="auto"/>
        <w:right w:val="none" w:sz="0" w:space="0" w:color="auto"/>
      </w:divBdr>
    </w:div>
    <w:div w:id="916398006">
      <w:bodyDiv w:val="1"/>
      <w:marLeft w:val="0"/>
      <w:marRight w:val="0"/>
      <w:marTop w:val="0"/>
      <w:marBottom w:val="0"/>
      <w:divBdr>
        <w:top w:val="none" w:sz="0" w:space="0" w:color="auto"/>
        <w:left w:val="none" w:sz="0" w:space="0" w:color="auto"/>
        <w:bottom w:val="none" w:sz="0" w:space="0" w:color="auto"/>
        <w:right w:val="none" w:sz="0" w:space="0" w:color="auto"/>
      </w:divBdr>
    </w:div>
    <w:div w:id="959652925">
      <w:bodyDiv w:val="1"/>
      <w:marLeft w:val="0"/>
      <w:marRight w:val="0"/>
      <w:marTop w:val="0"/>
      <w:marBottom w:val="0"/>
      <w:divBdr>
        <w:top w:val="none" w:sz="0" w:space="0" w:color="auto"/>
        <w:left w:val="none" w:sz="0" w:space="0" w:color="auto"/>
        <w:bottom w:val="none" w:sz="0" w:space="0" w:color="auto"/>
        <w:right w:val="none" w:sz="0" w:space="0" w:color="auto"/>
      </w:divBdr>
    </w:div>
    <w:div w:id="1121194855">
      <w:bodyDiv w:val="1"/>
      <w:marLeft w:val="0"/>
      <w:marRight w:val="0"/>
      <w:marTop w:val="0"/>
      <w:marBottom w:val="0"/>
      <w:divBdr>
        <w:top w:val="none" w:sz="0" w:space="0" w:color="auto"/>
        <w:left w:val="none" w:sz="0" w:space="0" w:color="auto"/>
        <w:bottom w:val="none" w:sz="0" w:space="0" w:color="auto"/>
        <w:right w:val="none" w:sz="0" w:space="0" w:color="auto"/>
      </w:divBdr>
    </w:div>
    <w:div w:id="1126047593">
      <w:bodyDiv w:val="1"/>
      <w:marLeft w:val="0"/>
      <w:marRight w:val="0"/>
      <w:marTop w:val="0"/>
      <w:marBottom w:val="0"/>
      <w:divBdr>
        <w:top w:val="none" w:sz="0" w:space="0" w:color="auto"/>
        <w:left w:val="none" w:sz="0" w:space="0" w:color="auto"/>
        <w:bottom w:val="none" w:sz="0" w:space="0" w:color="auto"/>
        <w:right w:val="none" w:sz="0" w:space="0" w:color="auto"/>
      </w:divBdr>
    </w:div>
    <w:div w:id="1127360831">
      <w:bodyDiv w:val="1"/>
      <w:marLeft w:val="0"/>
      <w:marRight w:val="0"/>
      <w:marTop w:val="0"/>
      <w:marBottom w:val="0"/>
      <w:divBdr>
        <w:top w:val="none" w:sz="0" w:space="0" w:color="auto"/>
        <w:left w:val="none" w:sz="0" w:space="0" w:color="auto"/>
        <w:bottom w:val="none" w:sz="0" w:space="0" w:color="auto"/>
        <w:right w:val="none" w:sz="0" w:space="0" w:color="auto"/>
      </w:divBdr>
    </w:div>
    <w:div w:id="1147941991">
      <w:bodyDiv w:val="1"/>
      <w:marLeft w:val="0"/>
      <w:marRight w:val="0"/>
      <w:marTop w:val="0"/>
      <w:marBottom w:val="0"/>
      <w:divBdr>
        <w:top w:val="none" w:sz="0" w:space="0" w:color="auto"/>
        <w:left w:val="none" w:sz="0" w:space="0" w:color="auto"/>
        <w:bottom w:val="none" w:sz="0" w:space="0" w:color="auto"/>
        <w:right w:val="none" w:sz="0" w:space="0" w:color="auto"/>
      </w:divBdr>
    </w:div>
    <w:div w:id="1177386279">
      <w:bodyDiv w:val="1"/>
      <w:marLeft w:val="0"/>
      <w:marRight w:val="0"/>
      <w:marTop w:val="0"/>
      <w:marBottom w:val="0"/>
      <w:divBdr>
        <w:top w:val="none" w:sz="0" w:space="0" w:color="auto"/>
        <w:left w:val="none" w:sz="0" w:space="0" w:color="auto"/>
        <w:bottom w:val="none" w:sz="0" w:space="0" w:color="auto"/>
        <w:right w:val="none" w:sz="0" w:space="0" w:color="auto"/>
      </w:divBdr>
    </w:div>
    <w:div w:id="1187792731">
      <w:bodyDiv w:val="1"/>
      <w:marLeft w:val="0"/>
      <w:marRight w:val="0"/>
      <w:marTop w:val="0"/>
      <w:marBottom w:val="0"/>
      <w:divBdr>
        <w:top w:val="none" w:sz="0" w:space="0" w:color="auto"/>
        <w:left w:val="none" w:sz="0" w:space="0" w:color="auto"/>
        <w:bottom w:val="none" w:sz="0" w:space="0" w:color="auto"/>
        <w:right w:val="none" w:sz="0" w:space="0" w:color="auto"/>
      </w:divBdr>
    </w:div>
    <w:div w:id="1393505268">
      <w:bodyDiv w:val="1"/>
      <w:marLeft w:val="0"/>
      <w:marRight w:val="0"/>
      <w:marTop w:val="0"/>
      <w:marBottom w:val="0"/>
      <w:divBdr>
        <w:top w:val="none" w:sz="0" w:space="0" w:color="auto"/>
        <w:left w:val="none" w:sz="0" w:space="0" w:color="auto"/>
        <w:bottom w:val="none" w:sz="0" w:space="0" w:color="auto"/>
        <w:right w:val="none" w:sz="0" w:space="0" w:color="auto"/>
      </w:divBdr>
    </w:div>
    <w:div w:id="1498572467">
      <w:bodyDiv w:val="1"/>
      <w:marLeft w:val="0"/>
      <w:marRight w:val="0"/>
      <w:marTop w:val="0"/>
      <w:marBottom w:val="0"/>
      <w:divBdr>
        <w:top w:val="none" w:sz="0" w:space="0" w:color="auto"/>
        <w:left w:val="none" w:sz="0" w:space="0" w:color="auto"/>
        <w:bottom w:val="none" w:sz="0" w:space="0" w:color="auto"/>
        <w:right w:val="none" w:sz="0" w:space="0" w:color="auto"/>
      </w:divBdr>
    </w:div>
    <w:div w:id="1550993071">
      <w:bodyDiv w:val="1"/>
      <w:marLeft w:val="0"/>
      <w:marRight w:val="0"/>
      <w:marTop w:val="0"/>
      <w:marBottom w:val="0"/>
      <w:divBdr>
        <w:top w:val="none" w:sz="0" w:space="0" w:color="auto"/>
        <w:left w:val="none" w:sz="0" w:space="0" w:color="auto"/>
        <w:bottom w:val="none" w:sz="0" w:space="0" w:color="auto"/>
        <w:right w:val="none" w:sz="0" w:space="0" w:color="auto"/>
      </w:divBdr>
    </w:div>
    <w:div w:id="1579048814">
      <w:bodyDiv w:val="1"/>
      <w:marLeft w:val="0"/>
      <w:marRight w:val="0"/>
      <w:marTop w:val="0"/>
      <w:marBottom w:val="0"/>
      <w:divBdr>
        <w:top w:val="none" w:sz="0" w:space="0" w:color="auto"/>
        <w:left w:val="none" w:sz="0" w:space="0" w:color="auto"/>
        <w:bottom w:val="none" w:sz="0" w:space="0" w:color="auto"/>
        <w:right w:val="none" w:sz="0" w:space="0" w:color="auto"/>
      </w:divBdr>
    </w:div>
    <w:div w:id="1600333668">
      <w:bodyDiv w:val="1"/>
      <w:marLeft w:val="0"/>
      <w:marRight w:val="0"/>
      <w:marTop w:val="0"/>
      <w:marBottom w:val="0"/>
      <w:divBdr>
        <w:top w:val="none" w:sz="0" w:space="0" w:color="auto"/>
        <w:left w:val="none" w:sz="0" w:space="0" w:color="auto"/>
        <w:bottom w:val="none" w:sz="0" w:space="0" w:color="auto"/>
        <w:right w:val="none" w:sz="0" w:space="0" w:color="auto"/>
      </w:divBdr>
    </w:div>
    <w:div w:id="1611663732">
      <w:bodyDiv w:val="1"/>
      <w:marLeft w:val="0"/>
      <w:marRight w:val="0"/>
      <w:marTop w:val="0"/>
      <w:marBottom w:val="0"/>
      <w:divBdr>
        <w:top w:val="none" w:sz="0" w:space="0" w:color="auto"/>
        <w:left w:val="none" w:sz="0" w:space="0" w:color="auto"/>
        <w:bottom w:val="none" w:sz="0" w:space="0" w:color="auto"/>
        <w:right w:val="none" w:sz="0" w:space="0" w:color="auto"/>
      </w:divBdr>
    </w:div>
    <w:div w:id="1718511519">
      <w:bodyDiv w:val="1"/>
      <w:marLeft w:val="0"/>
      <w:marRight w:val="0"/>
      <w:marTop w:val="0"/>
      <w:marBottom w:val="0"/>
      <w:divBdr>
        <w:top w:val="none" w:sz="0" w:space="0" w:color="auto"/>
        <w:left w:val="none" w:sz="0" w:space="0" w:color="auto"/>
        <w:bottom w:val="none" w:sz="0" w:space="0" w:color="auto"/>
        <w:right w:val="none" w:sz="0" w:space="0" w:color="auto"/>
      </w:divBdr>
    </w:div>
    <w:div w:id="1825386824">
      <w:bodyDiv w:val="1"/>
      <w:marLeft w:val="0"/>
      <w:marRight w:val="0"/>
      <w:marTop w:val="0"/>
      <w:marBottom w:val="0"/>
      <w:divBdr>
        <w:top w:val="none" w:sz="0" w:space="0" w:color="auto"/>
        <w:left w:val="none" w:sz="0" w:space="0" w:color="auto"/>
        <w:bottom w:val="none" w:sz="0" w:space="0" w:color="auto"/>
        <w:right w:val="none" w:sz="0" w:space="0" w:color="auto"/>
      </w:divBdr>
    </w:div>
    <w:div w:id="1831288679">
      <w:bodyDiv w:val="1"/>
      <w:marLeft w:val="0"/>
      <w:marRight w:val="0"/>
      <w:marTop w:val="0"/>
      <w:marBottom w:val="0"/>
      <w:divBdr>
        <w:top w:val="none" w:sz="0" w:space="0" w:color="auto"/>
        <w:left w:val="none" w:sz="0" w:space="0" w:color="auto"/>
        <w:bottom w:val="none" w:sz="0" w:space="0" w:color="auto"/>
        <w:right w:val="none" w:sz="0" w:space="0" w:color="auto"/>
      </w:divBdr>
    </w:div>
    <w:div w:id="1832523376">
      <w:bodyDiv w:val="1"/>
      <w:marLeft w:val="0"/>
      <w:marRight w:val="0"/>
      <w:marTop w:val="0"/>
      <w:marBottom w:val="0"/>
      <w:divBdr>
        <w:top w:val="none" w:sz="0" w:space="0" w:color="auto"/>
        <w:left w:val="none" w:sz="0" w:space="0" w:color="auto"/>
        <w:bottom w:val="none" w:sz="0" w:space="0" w:color="auto"/>
        <w:right w:val="none" w:sz="0" w:space="0" w:color="auto"/>
      </w:divBdr>
    </w:div>
    <w:div w:id="1930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0C60-0CD2-4F0B-A3A9-BD238767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3213</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Douthwaite</dc:creator>
  <cp:keywords/>
  <dc:description/>
  <cp:lastModifiedBy>Brooks, Catherine</cp:lastModifiedBy>
  <cp:revision>2</cp:revision>
  <dcterms:created xsi:type="dcterms:W3CDTF">2023-03-16T11:45:00Z</dcterms:created>
  <dcterms:modified xsi:type="dcterms:W3CDTF">2023-03-16T11:45:00Z</dcterms:modified>
</cp:coreProperties>
</file>